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E3F02" w14:textId="66547C07" w:rsidR="004B2D23" w:rsidRDefault="00C84661" w:rsidP="00852248">
      <w:pPr>
        <w:jc w:val="center"/>
      </w:pPr>
      <w:bookmarkStart w:id="0" w:name="_GoBack"/>
      <w:bookmarkEnd w:id="0"/>
      <w:r w:rsidRPr="00C84661">
        <w:rPr>
          <w:noProof/>
          <w:lang w:eastAsia="en-GB"/>
        </w:rPr>
        <w:drawing>
          <wp:inline distT="0" distB="0" distL="0" distR="0" wp14:anchorId="59045190" wp14:editId="15B9E592">
            <wp:extent cx="3703527" cy="834926"/>
            <wp:effectExtent l="0" t="0" r="0" b="3810"/>
            <wp:docPr id="1" name="Picture 1" descr="X:\RCT Administration\Logos &amp; Templates\Fineline Sept 2020\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CT Administration\Logos &amp; Templates\Fineline Sept 2020\Logo -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98" cy="8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0525" w14:textId="77777777" w:rsidR="004B2D23" w:rsidRDefault="004B2D23" w:rsidP="003C414E">
      <w:pPr>
        <w:tabs>
          <w:tab w:val="left" w:pos="3450"/>
        </w:tabs>
        <w:spacing w:after="0"/>
      </w:pPr>
      <w:r>
        <w:tab/>
      </w:r>
    </w:p>
    <w:p w14:paraId="76C638FA" w14:textId="77777777" w:rsidR="004B2D23" w:rsidRPr="004B2D23" w:rsidRDefault="00D73DD0" w:rsidP="004B2D23">
      <w:pPr>
        <w:tabs>
          <w:tab w:val="left" w:pos="3450"/>
        </w:tabs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Minutes</w:t>
      </w:r>
      <w:r w:rsidR="004B2D23" w:rsidRPr="004B2D23">
        <w:rPr>
          <w:rFonts w:ascii="Arial" w:hAnsi="Arial" w:cs="Arial"/>
          <w:sz w:val="28"/>
          <w:szCs w:val="28"/>
          <w:u w:val="single"/>
        </w:rPr>
        <w:t xml:space="preserve"> of the North Wales Regional Partnership Board Meeting</w:t>
      </w:r>
    </w:p>
    <w:p w14:paraId="2D84B52C" w14:textId="7C42615D" w:rsidR="004B2D23" w:rsidRPr="004B2D23" w:rsidRDefault="00D32B0B" w:rsidP="0053674F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D54A9A">
        <w:rPr>
          <w:rFonts w:ascii="Arial" w:hAnsi="Arial" w:cs="Arial"/>
          <w:b/>
          <w:sz w:val="28"/>
          <w:szCs w:val="28"/>
        </w:rPr>
        <w:t>4</w:t>
      </w:r>
      <w:r w:rsidR="004B2D23" w:rsidRPr="004B2D2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B2D23" w:rsidRPr="004B2D23">
        <w:rPr>
          <w:rFonts w:ascii="Arial" w:hAnsi="Arial" w:cs="Arial"/>
          <w:b/>
          <w:sz w:val="28"/>
          <w:szCs w:val="28"/>
        </w:rPr>
        <w:t xml:space="preserve"> </w:t>
      </w:r>
      <w:r w:rsidR="00D54A9A">
        <w:rPr>
          <w:rFonts w:ascii="Arial" w:hAnsi="Arial" w:cs="Arial"/>
          <w:b/>
          <w:sz w:val="28"/>
          <w:szCs w:val="28"/>
        </w:rPr>
        <w:t>January 2022</w:t>
      </w:r>
    </w:p>
    <w:p w14:paraId="5727379E" w14:textId="6D1199E3" w:rsidR="004B2D23" w:rsidRPr="004B2D23" w:rsidRDefault="004B2D23" w:rsidP="0053674F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4B2D2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:</w:t>
      </w:r>
      <w:r w:rsidRPr="004B2D23">
        <w:rPr>
          <w:rFonts w:ascii="Arial" w:hAnsi="Arial" w:cs="Arial"/>
          <w:b/>
          <w:sz w:val="28"/>
          <w:szCs w:val="28"/>
        </w:rPr>
        <w:t>00 am – 1</w:t>
      </w:r>
      <w:r w:rsidR="007F7C74">
        <w:rPr>
          <w:rFonts w:ascii="Arial" w:hAnsi="Arial" w:cs="Arial"/>
          <w:b/>
          <w:sz w:val="28"/>
          <w:szCs w:val="28"/>
        </w:rPr>
        <w:t>0</w:t>
      </w:r>
      <w:r w:rsidR="00995C5E">
        <w:rPr>
          <w:rFonts w:ascii="Arial" w:hAnsi="Arial" w:cs="Arial"/>
          <w:b/>
          <w:sz w:val="28"/>
          <w:szCs w:val="28"/>
        </w:rPr>
        <w:t>:</w:t>
      </w:r>
      <w:r w:rsidR="007F7C74">
        <w:rPr>
          <w:rFonts w:ascii="Arial" w:hAnsi="Arial" w:cs="Arial"/>
          <w:b/>
          <w:sz w:val="28"/>
          <w:szCs w:val="28"/>
        </w:rPr>
        <w:t>3</w:t>
      </w:r>
      <w:r w:rsidR="00995C5E">
        <w:rPr>
          <w:rFonts w:ascii="Arial" w:hAnsi="Arial" w:cs="Arial"/>
          <w:b/>
          <w:sz w:val="28"/>
          <w:szCs w:val="28"/>
        </w:rPr>
        <w:t xml:space="preserve">0 </w:t>
      </w:r>
      <w:r w:rsidR="00D54A9A">
        <w:rPr>
          <w:rFonts w:ascii="Arial" w:hAnsi="Arial" w:cs="Arial"/>
          <w:b/>
          <w:sz w:val="28"/>
          <w:szCs w:val="28"/>
        </w:rPr>
        <w:t>a</w:t>
      </w:r>
      <w:r w:rsidR="00995C5E">
        <w:rPr>
          <w:rFonts w:ascii="Arial" w:hAnsi="Arial" w:cs="Arial"/>
          <w:b/>
          <w:sz w:val="28"/>
          <w:szCs w:val="28"/>
        </w:rPr>
        <w:t>m</w:t>
      </w:r>
    </w:p>
    <w:p w14:paraId="168D920D" w14:textId="77777777" w:rsidR="004B2D23" w:rsidRPr="004B2D23" w:rsidRDefault="00D32B0B" w:rsidP="003C414E">
      <w:pPr>
        <w:tabs>
          <w:tab w:val="left" w:pos="345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Via </w:t>
      </w:r>
      <w:r w:rsidR="00995C5E">
        <w:rPr>
          <w:rFonts w:ascii="Arial" w:hAnsi="Arial" w:cs="Arial"/>
          <w:b/>
          <w:sz w:val="28"/>
          <w:szCs w:val="28"/>
        </w:rPr>
        <w:t>Zoom</w:t>
      </w:r>
    </w:p>
    <w:p w14:paraId="5028B48B" w14:textId="77777777" w:rsidR="004B2D23" w:rsidRDefault="004B2D23" w:rsidP="003C414E">
      <w:pPr>
        <w:tabs>
          <w:tab w:val="left" w:pos="3450"/>
        </w:tabs>
        <w:spacing w:after="0"/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4B2D23" w:rsidRPr="007103FB" w14:paraId="58C178BC" w14:textId="77777777" w:rsidTr="00AF38AE">
        <w:tc>
          <w:tcPr>
            <w:tcW w:w="1702" w:type="dxa"/>
            <w:shd w:val="clear" w:color="auto" w:fill="auto"/>
          </w:tcPr>
          <w:p w14:paraId="44A31EB3" w14:textId="77777777" w:rsidR="004B2D23" w:rsidRPr="007103FB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7103FB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8363" w:type="dxa"/>
            <w:shd w:val="clear" w:color="auto" w:fill="auto"/>
          </w:tcPr>
          <w:p w14:paraId="40DD8993" w14:textId="611D8ABF" w:rsidR="0053674F" w:rsidRPr="007103FB" w:rsidRDefault="00995C5E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995C5E">
              <w:rPr>
                <w:rFonts w:ascii="Arial" w:hAnsi="Arial" w:cs="Arial"/>
                <w:sz w:val="24"/>
                <w:szCs w:val="24"/>
              </w:rPr>
              <w:t xml:space="preserve">Mary Wimbury (Chair), </w:t>
            </w:r>
            <w:r w:rsidR="00A606B4">
              <w:rPr>
                <w:rFonts w:ascii="Arial" w:hAnsi="Arial" w:cs="Arial"/>
                <w:sz w:val="24"/>
                <w:szCs w:val="24"/>
              </w:rPr>
              <w:t xml:space="preserve">Ann Woods, </w:t>
            </w:r>
            <w:r w:rsidRPr="00995C5E">
              <w:rPr>
                <w:rFonts w:ascii="Arial" w:hAnsi="Arial" w:cs="Arial"/>
                <w:sz w:val="24"/>
                <w:szCs w:val="24"/>
              </w:rPr>
              <w:t>Bethan E Jones, Catrin Roberts, Cllr Cheryl Carlisle, Cllr Christine Jones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5C5E">
              <w:rPr>
                <w:rFonts w:ascii="Arial" w:hAnsi="Arial" w:cs="Arial"/>
                <w:sz w:val="24"/>
                <w:szCs w:val="24"/>
              </w:rPr>
              <w:t>Cllr Bobby Feeley, Cllr Llinos Medi Huws</w:t>
            </w:r>
            <w:r w:rsidR="007F7C74">
              <w:rPr>
                <w:rFonts w:ascii="Arial" w:hAnsi="Arial" w:cs="Arial"/>
                <w:sz w:val="24"/>
                <w:szCs w:val="24"/>
              </w:rPr>
              <w:t xml:space="preserve"> (arrived at 9:25 am)</w:t>
            </w:r>
            <w:r w:rsidRPr="00995C5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C414E">
              <w:rPr>
                <w:rFonts w:ascii="Arial" w:hAnsi="Arial" w:cs="Arial"/>
                <w:sz w:val="24"/>
                <w:szCs w:val="24"/>
              </w:rPr>
              <w:t xml:space="preserve">Cllr John Pritchard, </w:t>
            </w:r>
            <w:r w:rsidR="003C414E" w:rsidRPr="00AF38AE">
              <w:rPr>
                <w:rFonts w:ascii="Arial" w:hAnsi="Arial" w:cs="Arial"/>
                <w:sz w:val="24"/>
                <w:szCs w:val="24"/>
              </w:rPr>
              <w:t>Dr Lowri Brown</w:t>
            </w:r>
            <w:r w:rsidR="003C41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5C5E">
              <w:rPr>
                <w:rFonts w:ascii="Arial" w:hAnsi="Arial" w:cs="Arial"/>
                <w:sz w:val="24"/>
                <w:szCs w:val="24"/>
              </w:rPr>
              <w:t>Ffion Johnstone,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C5E">
              <w:rPr>
                <w:rFonts w:ascii="Arial" w:hAnsi="Arial" w:cs="Arial"/>
                <w:sz w:val="24"/>
                <w:szCs w:val="24"/>
              </w:rPr>
              <w:t>Fôn Roberts</w:t>
            </w:r>
            <w:r w:rsidR="00A606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5C5E">
              <w:rPr>
                <w:rFonts w:ascii="Arial" w:hAnsi="Arial" w:cs="Arial"/>
                <w:sz w:val="24"/>
                <w:szCs w:val="24"/>
              </w:rPr>
              <w:t xml:space="preserve">Helen Corcoran, </w:t>
            </w:r>
            <w:r w:rsidR="007F7C74">
              <w:rPr>
                <w:rFonts w:ascii="Arial" w:hAnsi="Arial" w:cs="Arial"/>
                <w:sz w:val="24"/>
                <w:szCs w:val="24"/>
              </w:rPr>
              <w:t>I</w:t>
            </w:r>
            <w:r w:rsidR="005F2102">
              <w:rPr>
                <w:rFonts w:ascii="Arial" w:hAnsi="Arial" w:cs="Arial"/>
                <w:sz w:val="24"/>
                <w:szCs w:val="24"/>
              </w:rPr>
              <w:t>w</w:t>
            </w:r>
            <w:r w:rsidR="007F7C74">
              <w:rPr>
                <w:rFonts w:ascii="Arial" w:hAnsi="Arial" w:cs="Arial"/>
                <w:sz w:val="24"/>
                <w:szCs w:val="24"/>
              </w:rPr>
              <w:t xml:space="preserve">an Davies (arrived at 10:00 am), </w:t>
            </w:r>
            <w:r w:rsidRPr="00995C5E">
              <w:rPr>
                <w:rFonts w:ascii="Arial" w:hAnsi="Arial" w:cs="Arial"/>
                <w:sz w:val="24"/>
                <w:szCs w:val="24"/>
              </w:rPr>
              <w:t>Jenny Williams, Meinir Williams-Jones, Morwena Edwards</w:t>
            </w:r>
            <w:r w:rsidR="00A606B4">
              <w:rPr>
                <w:rFonts w:ascii="Arial" w:hAnsi="Arial" w:cs="Arial"/>
                <w:sz w:val="24"/>
                <w:szCs w:val="24"/>
              </w:rPr>
              <w:t>,</w:t>
            </w:r>
            <w:r w:rsidR="003C4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6B4">
              <w:rPr>
                <w:rFonts w:ascii="Arial" w:hAnsi="Arial" w:cs="Arial"/>
                <w:sz w:val="24"/>
                <w:szCs w:val="24"/>
              </w:rPr>
              <w:t xml:space="preserve">Jane Davies (attending on behalf of </w:t>
            </w:r>
            <w:r w:rsidRPr="00995C5E">
              <w:rPr>
                <w:rFonts w:ascii="Arial" w:hAnsi="Arial" w:cs="Arial"/>
                <w:sz w:val="24"/>
                <w:szCs w:val="24"/>
              </w:rPr>
              <w:t>Neil Ayling</w:t>
            </w:r>
            <w:r w:rsidR="00A606B4">
              <w:rPr>
                <w:rFonts w:ascii="Arial" w:hAnsi="Arial" w:cs="Arial"/>
                <w:sz w:val="24"/>
                <w:szCs w:val="24"/>
              </w:rPr>
              <w:t>)</w:t>
            </w:r>
            <w:r w:rsidRPr="00995C5E">
              <w:rPr>
                <w:rFonts w:ascii="Arial" w:hAnsi="Arial" w:cs="Arial"/>
                <w:sz w:val="24"/>
                <w:szCs w:val="24"/>
              </w:rPr>
              <w:t xml:space="preserve">, Nicola </w:t>
            </w:r>
            <w:r>
              <w:rPr>
                <w:rFonts w:ascii="Arial" w:hAnsi="Arial" w:cs="Arial"/>
                <w:sz w:val="24"/>
                <w:szCs w:val="24"/>
              </w:rPr>
              <w:t xml:space="preserve">Stubbins, </w:t>
            </w:r>
            <w:r w:rsidRPr="00995C5E">
              <w:rPr>
                <w:rFonts w:ascii="Arial" w:hAnsi="Arial" w:cs="Arial"/>
                <w:sz w:val="24"/>
                <w:szCs w:val="24"/>
              </w:rPr>
              <w:t>Sha</w:t>
            </w:r>
            <w:r>
              <w:rPr>
                <w:rFonts w:ascii="Arial" w:hAnsi="Arial" w:cs="Arial"/>
                <w:sz w:val="24"/>
                <w:szCs w:val="24"/>
              </w:rPr>
              <w:t>n Lloyd Williams,</w:t>
            </w:r>
            <w:r>
              <w:t xml:space="preserve"> </w:t>
            </w:r>
            <w:r w:rsidR="00A606B4" w:rsidRPr="00A606B4">
              <w:rPr>
                <w:rFonts w:ascii="Arial" w:hAnsi="Arial" w:cs="Arial"/>
                <w:sz w:val="24"/>
                <w:szCs w:val="24"/>
              </w:rPr>
              <w:t>Sian Tomos,</w:t>
            </w:r>
            <w:r w:rsidR="00A606B4">
              <w:t xml:space="preserve"> </w:t>
            </w:r>
            <w:r w:rsidR="008C439C">
              <w:rPr>
                <w:rFonts w:ascii="Arial" w:hAnsi="Arial" w:cs="Arial"/>
                <w:sz w:val="24"/>
                <w:szCs w:val="24"/>
              </w:rPr>
              <w:t>Teresa Owen</w:t>
            </w:r>
          </w:p>
          <w:p w14:paraId="0DF3B05C" w14:textId="77777777" w:rsidR="0053674F" w:rsidRPr="007103FB" w:rsidRDefault="0053674F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RPr="007103FB" w14:paraId="2013ACC6" w14:textId="77777777" w:rsidTr="0002337B">
        <w:tc>
          <w:tcPr>
            <w:tcW w:w="1702" w:type="dxa"/>
            <w:shd w:val="clear" w:color="auto" w:fill="auto"/>
          </w:tcPr>
          <w:p w14:paraId="1141B0CC" w14:textId="77777777" w:rsidR="004B2D23" w:rsidRPr="007103FB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7103FB">
              <w:rPr>
                <w:rFonts w:ascii="Arial" w:hAnsi="Arial" w:cs="Arial"/>
                <w:sz w:val="24"/>
                <w:szCs w:val="24"/>
              </w:rPr>
              <w:t>Apologies:</w:t>
            </w:r>
          </w:p>
        </w:tc>
        <w:tc>
          <w:tcPr>
            <w:tcW w:w="8363" w:type="dxa"/>
            <w:shd w:val="clear" w:color="auto" w:fill="auto"/>
          </w:tcPr>
          <w:p w14:paraId="5E852126" w14:textId="36AB265B" w:rsidR="00A606B4" w:rsidRPr="00A606B4" w:rsidRDefault="00A606B4" w:rsidP="00A606B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Alwyn Jones, Chris Stockport, </w:t>
            </w:r>
            <w:r w:rsidRPr="00A606B4">
              <w:rPr>
                <w:rFonts w:ascii="Arial" w:hAnsi="Arial" w:cs="Arial"/>
                <w:sz w:val="24"/>
                <w:szCs w:val="24"/>
              </w:rPr>
              <w:t>Delyth Lloyd Williams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606B4">
              <w:rPr>
                <w:rFonts w:ascii="Arial" w:hAnsi="Arial" w:cs="Arial"/>
                <w:sz w:val="24"/>
                <w:szCs w:val="24"/>
              </w:rPr>
              <w:t>Jo Whitehead,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6B4">
              <w:rPr>
                <w:rFonts w:ascii="Arial" w:hAnsi="Arial" w:cs="Arial"/>
                <w:sz w:val="24"/>
                <w:szCs w:val="24"/>
              </w:rPr>
              <w:t>Lucy Reid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3132B">
              <w:rPr>
                <w:rFonts w:ascii="Arial" w:hAnsi="Arial" w:cs="Arial"/>
                <w:sz w:val="24"/>
                <w:szCs w:val="24"/>
              </w:rPr>
              <w:t xml:space="preserve">Neil Ayling, </w:t>
            </w:r>
            <w:r w:rsidRPr="00A606B4">
              <w:rPr>
                <w:rFonts w:ascii="Arial" w:hAnsi="Arial" w:cs="Arial"/>
                <w:sz w:val="24"/>
                <w:szCs w:val="24"/>
              </w:rPr>
              <w:t>Paul Scott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606B4">
              <w:rPr>
                <w:rFonts w:ascii="Arial" w:hAnsi="Arial" w:cs="Arial"/>
                <w:sz w:val="24"/>
                <w:szCs w:val="24"/>
              </w:rPr>
              <w:t>Rob Smith</w:t>
            </w:r>
          </w:p>
          <w:p w14:paraId="41B38C21" w14:textId="2A47180D" w:rsidR="00A606B4" w:rsidRPr="007103FB" w:rsidRDefault="00A606B4" w:rsidP="00A606B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RPr="007103FB" w14:paraId="229B1604" w14:textId="77777777" w:rsidTr="0002337B">
        <w:tc>
          <w:tcPr>
            <w:tcW w:w="1702" w:type="dxa"/>
            <w:shd w:val="clear" w:color="auto" w:fill="auto"/>
          </w:tcPr>
          <w:p w14:paraId="2DD7F927" w14:textId="77777777" w:rsidR="004B2D23" w:rsidRPr="007103FB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7103FB">
              <w:rPr>
                <w:rFonts w:ascii="Arial" w:hAnsi="Arial" w:cs="Arial"/>
                <w:sz w:val="24"/>
                <w:szCs w:val="24"/>
              </w:rPr>
              <w:t xml:space="preserve">In Attendance:  </w:t>
            </w:r>
          </w:p>
        </w:tc>
        <w:tc>
          <w:tcPr>
            <w:tcW w:w="8363" w:type="dxa"/>
            <w:shd w:val="clear" w:color="auto" w:fill="auto"/>
          </w:tcPr>
          <w:p w14:paraId="517E231C" w14:textId="77777777" w:rsidR="004B2D23" w:rsidRDefault="00995C5E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 Griffiths, Alder Advice </w:t>
            </w:r>
            <w:r w:rsidRPr="00995C5E">
              <w:rPr>
                <w:rFonts w:ascii="Arial" w:hAnsi="Arial" w:cs="Arial"/>
                <w:sz w:val="24"/>
                <w:szCs w:val="24"/>
              </w:rPr>
              <w:t>(for agenda item 2)</w:t>
            </w:r>
          </w:p>
          <w:p w14:paraId="41015419" w14:textId="7F1F21B3" w:rsidR="0053674F" w:rsidRDefault="00A606B4" w:rsidP="00A606B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Craig Macleod, Chair of NWHoCS </w:t>
            </w:r>
            <w:r w:rsidRPr="00A606B4">
              <w:rPr>
                <w:rFonts w:ascii="Arial" w:hAnsi="Arial" w:cs="Arial"/>
                <w:sz w:val="24"/>
                <w:szCs w:val="24"/>
              </w:rPr>
              <w:t>(for agenda item 2)</w:t>
            </w:r>
          </w:p>
          <w:p w14:paraId="685CC2BE" w14:textId="557B8B93" w:rsidR="007F7C74" w:rsidRDefault="007F7C74" w:rsidP="00A606B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Catrin Perry, </w:t>
            </w:r>
            <w:r w:rsidRPr="007F7C74">
              <w:rPr>
                <w:rFonts w:ascii="Arial" w:hAnsi="Arial" w:cs="Arial"/>
                <w:sz w:val="24"/>
                <w:szCs w:val="24"/>
              </w:rPr>
              <w:t>Regional Business Manager – Commissioning and Workforce</w:t>
            </w:r>
            <w:r>
              <w:rPr>
                <w:rFonts w:ascii="Arial" w:hAnsi="Arial" w:cs="Arial"/>
                <w:sz w:val="24"/>
                <w:szCs w:val="24"/>
              </w:rPr>
              <w:t xml:space="preserve"> (for agenda item 3)</w:t>
            </w:r>
          </w:p>
          <w:p w14:paraId="0F43442C" w14:textId="417BAF4F" w:rsidR="00A606B4" w:rsidRPr="007103FB" w:rsidRDefault="00A606B4" w:rsidP="00A606B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A85C9D" w14:textId="77777777" w:rsidR="004B2D23" w:rsidRDefault="004B2D23" w:rsidP="008C439C">
      <w:pPr>
        <w:tabs>
          <w:tab w:val="left" w:pos="3450"/>
        </w:tabs>
        <w:spacing w:after="0"/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710"/>
        <w:gridCol w:w="7987"/>
        <w:gridCol w:w="1368"/>
      </w:tblGrid>
      <w:tr w:rsidR="004B2D23" w:rsidRPr="004B2D23" w14:paraId="72E8A7F4" w14:textId="77777777" w:rsidTr="001B372F">
        <w:tc>
          <w:tcPr>
            <w:tcW w:w="710" w:type="dxa"/>
          </w:tcPr>
          <w:p w14:paraId="7FF5BF9C" w14:textId="77777777" w:rsidR="004B2D23" w:rsidRP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2D23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987" w:type="dxa"/>
          </w:tcPr>
          <w:p w14:paraId="11C4B5F1" w14:textId="77777777" w:rsidR="004B2D23" w:rsidRP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4284922D" w14:textId="77777777" w:rsidR="004B2D23" w:rsidRP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2D23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4B2D23" w:rsidRPr="004B2D23" w14:paraId="0A28D1F1" w14:textId="77777777" w:rsidTr="0002337B">
        <w:tc>
          <w:tcPr>
            <w:tcW w:w="710" w:type="dxa"/>
            <w:shd w:val="clear" w:color="auto" w:fill="auto"/>
          </w:tcPr>
          <w:p w14:paraId="62803326" w14:textId="77777777" w:rsidR="004B2D23" w:rsidRP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2D2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987" w:type="dxa"/>
            <w:shd w:val="clear" w:color="auto" w:fill="auto"/>
          </w:tcPr>
          <w:p w14:paraId="6B372E37" w14:textId="77777777" w:rsidR="004B2D23" w:rsidRPr="0072650B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650B">
              <w:rPr>
                <w:rFonts w:ascii="Arial" w:hAnsi="Arial" w:cs="Arial"/>
                <w:sz w:val="24"/>
                <w:szCs w:val="24"/>
                <w:u w:val="single"/>
              </w:rPr>
              <w:t>Welcome, introductions and apologies</w:t>
            </w:r>
          </w:p>
          <w:p w14:paraId="3EF4E606" w14:textId="4DC1CE98" w:rsidR="00995C5E" w:rsidRDefault="00995C5E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995C5E">
              <w:rPr>
                <w:rFonts w:ascii="Arial" w:hAnsi="Arial" w:cs="Arial"/>
                <w:sz w:val="24"/>
                <w:szCs w:val="24"/>
              </w:rPr>
              <w:t>The chair extended a warm welcome to everyone</w:t>
            </w:r>
            <w:r w:rsidR="00FB251A">
              <w:rPr>
                <w:rFonts w:ascii="Arial" w:hAnsi="Arial" w:cs="Arial"/>
                <w:sz w:val="24"/>
                <w:szCs w:val="24"/>
              </w:rPr>
              <w:t xml:space="preserve"> and apologies were noted as above.</w:t>
            </w:r>
          </w:p>
          <w:p w14:paraId="54293956" w14:textId="77777777" w:rsidR="00995C5E" w:rsidRDefault="00995C5E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898B2F" w14:textId="50DB326B" w:rsidR="00224BAE" w:rsidRDefault="00224BAE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 also </w:t>
            </w:r>
            <w:r w:rsidR="007F7C74">
              <w:rPr>
                <w:rFonts w:ascii="Arial" w:hAnsi="Arial" w:cs="Arial"/>
                <w:sz w:val="24"/>
                <w:szCs w:val="24"/>
              </w:rPr>
              <w:t xml:space="preserve">welcomed Iwan Davies, NW CEO </w:t>
            </w:r>
            <w:r w:rsidR="00336C58">
              <w:rPr>
                <w:rFonts w:ascii="Arial" w:hAnsi="Arial" w:cs="Arial"/>
                <w:sz w:val="24"/>
                <w:szCs w:val="24"/>
              </w:rPr>
              <w:t xml:space="preserve">representative and </w:t>
            </w:r>
            <w:r w:rsidR="007F7C74">
              <w:rPr>
                <w:rFonts w:ascii="Arial" w:hAnsi="Arial" w:cs="Arial"/>
                <w:sz w:val="24"/>
                <w:szCs w:val="24"/>
              </w:rPr>
              <w:t xml:space="preserve">lead </w:t>
            </w:r>
            <w:r w:rsidR="00346F10">
              <w:rPr>
                <w:rFonts w:ascii="Arial" w:hAnsi="Arial" w:cs="Arial"/>
                <w:sz w:val="24"/>
                <w:szCs w:val="24"/>
              </w:rPr>
              <w:t xml:space="preserve">CEO </w:t>
            </w:r>
            <w:r w:rsidR="007F7C74">
              <w:rPr>
                <w:rFonts w:ascii="Arial" w:hAnsi="Arial" w:cs="Arial"/>
                <w:sz w:val="24"/>
                <w:szCs w:val="24"/>
              </w:rPr>
              <w:t>on Health &amp; Social Care</w:t>
            </w:r>
            <w:r w:rsidR="00346F10">
              <w:rPr>
                <w:rFonts w:ascii="Arial" w:hAnsi="Arial" w:cs="Arial"/>
                <w:sz w:val="24"/>
                <w:szCs w:val="24"/>
              </w:rPr>
              <w:t>.</w:t>
            </w:r>
            <w:r w:rsidR="007F7C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AD55FA" w14:textId="77777777" w:rsidR="004B2D23" w:rsidRPr="004B2D23" w:rsidRDefault="004B2D23" w:rsidP="007F7C74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09372572" w14:textId="77777777" w:rsid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E60AA5" w14:textId="77777777" w:rsidR="0072650B" w:rsidRDefault="0072650B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99AB0F" w14:textId="77777777" w:rsidR="0072650B" w:rsidRDefault="0072650B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C831BC" w14:textId="5B4417D8" w:rsidR="0072650B" w:rsidRPr="004B2D23" w:rsidRDefault="0072650B" w:rsidP="00C0620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C5E" w:rsidRPr="004B2D23" w14:paraId="254C5E64" w14:textId="77777777" w:rsidTr="00CF1C2A">
        <w:tc>
          <w:tcPr>
            <w:tcW w:w="710" w:type="dxa"/>
            <w:shd w:val="clear" w:color="auto" w:fill="auto"/>
          </w:tcPr>
          <w:p w14:paraId="6457AB55" w14:textId="18D3BA5D" w:rsidR="00995C5E" w:rsidRPr="004B2D23" w:rsidRDefault="00D4008D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95C5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987" w:type="dxa"/>
            <w:shd w:val="clear" w:color="auto" w:fill="auto"/>
          </w:tcPr>
          <w:p w14:paraId="6AF6BEF5" w14:textId="77777777" w:rsidR="00D4008D" w:rsidRPr="00B41142" w:rsidRDefault="00D4008D" w:rsidP="00A0179B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4114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Children &amp; Young People - NWD Strategy </w:t>
            </w:r>
          </w:p>
          <w:p w14:paraId="708393E8" w14:textId="0BCCFFD0" w:rsidR="00A0179B" w:rsidRPr="00A0179B" w:rsidRDefault="00D4008D" w:rsidP="00A017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RG </w:t>
            </w:r>
            <w:r w:rsidR="00A0179B" w:rsidRPr="00A0179B">
              <w:rPr>
                <w:rFonts w:ascii="Arial" w:hAnsi="Arial" w:cs="Arial"/>
                <w:color w:val="000000"/>
                <w:sz w:val="24"/>
                <w:szCs w:val="24"/>
              </w:rPr>
              <w:t xml:space="preserve">presented the final version of the NWD </w:t>
            </w:r>
            <w:r w:rsidR="00C36E03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A0179B" w:rsidRPr="00A0179B">
              <w:rPr>
                <w:rFonts w:ascii="Arial" w:hAnsi="Arial" w:cs="Arial"/>
                <w:color w:val="000000"/>
                <w:sz w:val="24"/>
                <w:szCs w:val="24"/>
              </w:rPr>
              <w:t xml:space="preserve">trategy and </w:t>
            </w:r>
            <w:r w:rsidR="00A0179B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0179B" w:rsidRPr="00A0179B">
              <w:rPr>
                <w:rFonts w:ascii="Arial" w:hAnsi="Arial" w:cs="Arial"/>
                <w:color w:val="000000"/>
                <w:sz w:val="24"/>
                <w:szCs w:val="24"/>
              </w:rPr>
              <w:t xml:space="preserve">xecutive </w:t>
            </w:r>
            <w:r w:rsidR="00A0179B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A0179B" w:rsidRPr="00A0179B">
              <w:rPr>
                <w:rFonts w:ascii="Arial" w:hAnsi="Arial" w:cs="Arial"/>
                <w:color w:val="000000"/>
                <w:sz w:val="24"/>
                <w:szCs w:val="24"/>
              </w:rPr>
              <w:t>ummary</w:t>
            </w:r>
            <w:r w:rsidR="00C36E03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Following the recommendation at the November NWRPB</w:t>
            </w:r>
            <w:r w:rsidR="00346F1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C36E03">
              <w:rPr>
                <w:rFonts w:ascii="Arial" w:hAnsi="Arial" w:cs="Arial"/>
                <w:color w:val="000000"/>
                <w:sz w:val="24"/>
                <w:szCs w:val="24"/>
              </w:rPr>
              <w:t xml:space="preserve"> number of events have </w:t>
            </w:r>
            <w:r w:rsidR="00E91CE0">
              <w:rPr>
                <w:rFonts w:ascii="Arial" w:hAnsi="Arial" w:cs="Arial"/>
                <w:color w:val="000000"/>
                <w:sz w:val="24"/>
                <w:szCs w:val="24"/>
              </w:rPr>
              <w:t xml:space="preserve">taken place </w:t>
            </w:r>
            <w:r w:rsidR="00C36E03">
              <w:rPr>
                <w:rFonts w:ascii="Arial" w:hAnsi="Arial" w:cs="Arial"/>
                <w:color w:val="000000"/>
                <w:sz w:val="24"/>
                <w:szCs w:val="24"/>
              </w:rPr>
              <w:t xml:space="preserve">with </w:t>
            </w:r>
            <w:r w:rsidR="008E1A78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0179B" w:rsidRPr="00A0179B">
              <w:rPr>
                <w:rFonts w:ascii="Arial" w:hAnsi="Arial" w:cs="Arial"/>
                <w:color w:val="000000"/>
                <w:sz w:val="24"/>
                <w:szCs w:val="24"/>
              </w:rPr>
              <w:t>ducation partners:</w:t>
            </w:r>
          </w:p>
          <w:p w14:paraId="02CE19E1" w14:textId="687018D6" w:rsidR="00A0179B" w:rsidRPr="00C36E03" w:rsidRDefault="00A0179B" w:rsidP="00C36E03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E03">
              <w:rPr>
                <w:rFonts w:ascii="Arial" w:hAnsi="Arial" w:cs="Arial"/>
                <w:color w:val="000000"/>
                <w:sz w:val="24"/>
                <w:szCs w:val="24"/>
              </w:rPr>
              <w:t>A workshop with representation from early years and primary</w:t>
            </w:r>
          </w:p>
          <w:p w14:paraId="37C3841C" w14:textId="422C5C0C" w:rsidR="00A0179B" w:rsidRPr="00C36E03" w:rsidRDefault="00A0179B" w:rsidP="00C36E03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E03">
              <w:rPr>
                <w:rFonts w:ascii="Arial" w:hAnsi="Arial" w:cs="Arial"/>
                <w:color w:val="000000"/>
                <w:sz w:val="24"/>
                <w:szCs w:val="24"/>
              </w:rPr>
              <w:t>A workshop with representatives from secondary and tertiary</w:t>
            </w:r>
          </w:p>
          <w:p w14:paraId="62B008EE" w14:textId="221A3F8E" w:rsidR="00A0179B" w:rsidRDefault="00A0179B" w:rsidP="00C36E03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E03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F92571">
              <w:rPr>
                <w:rFonts w:ascii="Arial" w:hAnsi="Arial" w:cs="Arial"/>
                <w:color w:val="000000"/>
                <w:sz w:val="24"/>
                <w:szCs w:val="24"/>
              </w:rPr>
              <w:t xml:space="preserve">n opportunity to meet with </w:t>
            </w:r>
            <w:r w:rsidR="00C36E03">
              <w:rPr>
                <w:rFonts w:ascii="Arial" w:hAnsi="Arial" w:cs="Arial"/>
                <w:color w:val="000000"/>
                <w:sz w:val="24"/>
                <w:szCs w:val="24"/>
              </w:rPr>
              <w:t>leaders from the education sector</w:t>
            </w:r>
          </w:p>
          <w:p w14:paraId="30FE6AF2" w14:textId="77777777" w:rsidR="00C36E03" w:rsidRPr="00C36E03" w:rsidRDefault="00C36E03" w:rsidP="00C36E03">
            <w:pPr>
              <w:pStyle w:val="ListParagraph"/>
              <w:ind w:left="31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164645" w14:textId="4055EF8D" w:rsidR="00F92571" w:rsidRDefault="00B41142" w:rsidP="00E46A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above</w:t>
            </w:r>
            <w:r w:rsidR="008A6FC4">
              <w:rPr>
                <w:rFonts w:ascii="Arial" w:hAnsi="Arial" w:cs="Arial"/>
                <w:color w:val="000000"/>
                <w:sz w:val="24"/>
                <w:szCs w:val="24"/>
              </w:rPr>
              <w:t xml:space="preserve"> engagement</w:t>
            </w:r>
            <w:r w:rsidR="0002337B">
              <w:rPr>
                <w:rFonts w:ascii="Arial" w:hAnsi="Arial" w:cs="Arial"/>
                <w:color w:val="000000"/>
                <w:sz w:val="24"/>
                <w:szCs w:val="24"/>
              </w:rPr>
              <w:t xml:space="preserve"> events</w:t>
            </w:r>
            <w:r w:rsidR="008A6FC4">
              <w:rPr>
                <w:rFonts w:ascii="Arial" w:hAnsi="Arial" w:cs="Arial"/>
                <w:color w:val="000000"/>
                <w:sz w:val="24"/>
                <w:szCs w:val="24"/>
              </w:rPr>
              <w:t xml:space="preserve"> proved valuable </w:t>
            </w:r>
            <w:r w:rsidR="00F92571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r w:rsidR="008A6FC4">
              <w:rPr>
                <w:rFonts w:ascii="Arial" w:hAnsi="Arial" w:cs="Arial"/>
                <w:color w:val="000000"/>
                <w:sz w:val="24"/>
                <w:szCs w:val="24"/>
              </w:rPr>
              <w:t>contributing t</w:t>
            </w:r>
            <w:r w:rsidR="00C36E03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8A6FC4">
              <w:rPr>
                <w:rFonts w:ascii="Arial" w:hAnsi="Arial" w:cs="Arial"/>
                <w:color w:val="000000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NWD S</w:t>
            </w:r>
            <w:r w:rsidR="008A6FC4">
              <w:rPr>
                <w:rFonts w:ascii="Arial" w:hAnsi="Arial" w:cs="Arial"/>
                <w:color w:val="000000"/>
                <w:sz w:val="24"/>
                <w:szCs w:val="24"/>
              </w:rPr>
              <w:t xml:space="preserve">trategy and </w:t>
            </w:r>
            <w:r w:rsidR="00F92571">
              <w:rPr>
                <w:rFonts w:ascii="Arial" w:hAnsi="Arial" w:cs="Arial"/>
                <w:color w:val="000000"/>
                <w:sz w:val="24"/>
                <w:szCs w:val="24"/>
              </w:rPr>
              <w:t>Alder note</w:t>
            </w:r>
            <w:r w:rsidR="0002337B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F92571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following</w:t>
            </w:r>
            <w:r w:rsid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 point</w:t>
            </w:r>
            <w:r w:rsidR="0002337B">
              <w:rPr>
                <w:rFonts w:ascii="Arial" w:hAnsi="Arial" w:cs="Arial"/>
                <w:color w:val="000000"/>
                <w:sz w:val="24"/>
                <w:szCs w:val="24"/>
              </w:rPr>
              <w:t>s:</w:t>
            </w:r>
          </w:p>
          <w:p w14:paraId="17A77DDC" w14:textId="0555E60F" w:rsidR="008A6FC4" w:rsidRPr="00537925" w:rsidRDefault="00537925" w:rsidP="00EC16B7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925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E91CE0">
              <w:rPr>
                <w:rFonts w:ascii="Arial" w:hAnsi="Arial" w:cs="Arial"/>
                <w:color w:val="000000"/>
                <w:sz w:val="24"/>
                <w:szCs w:val="24"/>
              </w:rPr>
              <w:t>n improved</w:t>
            </w:r>
            <w:r w:rsidR="008A6FC4" w:rsidRP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 understanding</w:t>
            </w:r>
            <w:r w:rsidR="00B41142" w:rsidRP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role </w:t>
            </w:r>
            <w:r w:rsidR="0002337B">
              <w:rPr>
                <w:rFonts w:ascii="Arial" w:hAnsi="Arial" w:cs="Arial"/>
                <w:color w:val="000000"/>
                <w:sz w:val="24"/>
                <w:szCs w:val="24"/>
              </w:rPr>
              <w:t>education</w:t>
            </w:r>
            <w:r w:rsidR="00B41142" w:rsidRP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 pro</w:t>
            </w:r>
            <w:r w:rsidRPr="00537925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B41142" w:rsidRP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iders </w:t>
            </w:r>
            <w:r w:rsidRPr="00537925">
              <w:rPr>
                <w:rFonts w:ascii="Arial" w:hAnsi="Arial" w:cs="Arial"/>
                <w:color w:val="000000"/>
                <w:sz w:val="24"/>
                <w:szCs w:val="24"/>
              </w:rPr>
              <w:t>undertake</w:t>
            </w:r>
            <w:r w:rsidR="00B41142" w:rsidRP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terms of the pathway, in particular roles in identification of issues and early responses </w:t>
            </w:r>
          </w:p>
          <w:p w14:paraId="451D4DC6" w14:textId="65BB062E" w:rsidR="00B41142" w:rsidRPr="00537925" w:rsidRDefault="00B41142" w:rsidP="00EC16B7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A great deal of interest and support </w:t>
            </w:r>
            <w:r w:rsidR="0002337B">
              <w:rPr>
                <w:rFonts w:ascii="Arial" w:hAnsi="Arial" w:cs="Arial"/>
                <w:color w:val="000000"/>
                <w:sz w:val="24"/>
                <w:szCs w:val="24"/>
              </w:rPr>
              <w:t>for</w:t>
            </w:r>
            <w:r w:rsidRP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hub model</w:t>
            </w:r>
            <w:r w:rsidR="00537925" w:rsidRP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and schools expressing </w:t>
            </w:r>
            <w:r w:rsidR="00537925" w:rsidRP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their aspirations </w:t>
            </w:r>
            <w:r w:rsidRPr="00537925">
              <w:rPr>
                <w:rFonts w:ascii="Arial" w:hAnsi="Arial" w:cs="Arial"/>
                <w:color w:val="000000"/>
                <w:sz w:val="24"/>
                <w:szCs w:val="24"/>
              </w:rPr>
              <w:t>in terms of the implement</w:t>
            </w:r>
            <w:r w:rsidR="00537925" w:rsidRPr="00537925">
              <w:rPr>
                <w:rFonts w:ascii="Arial" w:hAnsi="Arial" w:cs="Arial"/>
                <w:color w:val="000000"/>
                <w:sz w:val="24"/>
                <w:szCs w:val="24"/>
              </w:rPr>
              <w:t>ation</w:t>
            </w:r>
          </w:p>
          <w:p w14:paraId="6C5EDB82" w14:textId="24D9A165" w:rsidR="008A6FC4" w:rsidRPr="00EC16B7" w:rsidRDefault="00537925" w:rsidP="00EC16B7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6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Crisis</w:t>
            </w:r>
            <w:r w:rsidR="008A6FC4" w:rsidRPr="00EC16B7"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intervention and </w:t>
            </w:r>
            <w:r w:rsidR="00EC16B7">
              <w:rPr>
                <w:rFonts w:ascii="Arial" w:hAnsi="Arial" w:cs="Arial"/>
                <w:color w:val="000000"/>
                <w:sz w:val="24"/>
                <w:szCs w:val="24"/>
              </w:rPr>
              <w:t xml:space="preserve">crucial </w:t>
            </w:r>
            <w:r w:rsidR="008A6FC4" w:rsidRPr="00EC16B7">
              <w:rPr>
                <w:rFonts w:ascii="Arial" w:hAnsi="Arial" w:cs="Arial"/>
                <w:color w:val="000000"/>
                <w:sz w:val="24"/>
                <w:szCs w:val="24"/>
              </w:rPr>
              <w:t xml:space="preserve">MH services </w:t>
            </w:r>
            <w:r w:rsidR="00E91CE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8A6FC4" w:rsidRPr="00EC16B7">
              <w:rPr>
                <w:rFonts w:ascii="Arial" w:hAnsi="Arial" w:cs="Arial"/>
                <w:color w:val="000000"/>
                <w:sz w:val="24"/>
                <w:szCs w:val="24"/>
              </w:rPr>
              <w:t>upport</w:t>
            </w:r>
            <w:r w:rsidR="00E91C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6FC4" w:rsidRPr="00EC16B7">
              <w:rPr>
                <w:rFonts w:ascii="Arial" w:hAnsi="Arial" w:cs="Arial"/>
                <w:color w:val="000000"/>
                <w:sz w:val="24"/>
                <w:szCs w:val="24"/>
              </w:rPr>
              <w:t xml:space="preserve">the excellent work being </w:t>
            </w:r>
            <w:r w:rsidR="0002337B">
              <w:rPr>
                <w:rFonts w:ascii="Arial" w:hAnsi="Arial" w:cs="Arial"/>
                <w:color w:val="000000"/>
                <w:sz w:val="24"/>
                <w:szCs w:val="24"/>
              </w:rPr>
              <w:t>completed</w:t>
            </w:r>
            <w:r w:rsidR="008A6FC4" w:rsidRPr="00EC16B7">
              <w:rPr>
                <w:rFonts w:ascii="Arial" w:hAnsi="Arial" w:cs="Arial"/>
                <w:color w:val="000000"/>
                <w:sz w:val="24"/>
                <w:szCs w:val="24"/>
              </w:rPr>
              <w:t xml:space="preserve"> within the edu</w:t>
            </w:r>
            <w:r w:rsidR="00C36E03" w:rsidRPr="00EC16B7">
              <w:rPr>
                <w:rFonts w:ascii="Arial" w:hAnsi="Arial" w:cs="Arial"/>
                <w:color w:val="000000"/>
                <w:sz w:val="24"/>
                <w:szCs w:val="24"/>
              </w:rPr>
              <w:t>cation</w:t>
            </w:r>
            <w:r w:rsidR="00EC16B7">
              <w:rPr>
                <w:rFonts w:ascii="Arial" w:hAnsi="Arial" w:cs="Arial"/>
                <w:color w:val="000000"/>
                <w:sz w:val="24"/>
                <w:szCs w:val="24"/>
              </w:rPr>
              <w:t xml:space="preserve"> sector</w:t>
            </w:r>
          </w:p>
          <w:p w14:paraId="0E5265E5" w14:textId="450C5D77" w:rsidR="008A6FC4" w:rsidRDefault="00537925" w:rsidP="00EC16B7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6B7">
              <w:rPr>
                <w:rFonts w:ascii="Arial" w:hAnsi="Arial" w:cs="Arial"/>
                <w:color w:val="000000"/>
                <w:sz w:val="24"/>
                <w:szCs w:val="24"/>
              </w:rPr>
              <w:t>Discussion on the</w:t>
            </w:r>
            <w:r w:rsidR="008A6FC4" w:rsidRPr="00EC16B7">
              <w:rPr>
                <w:rFonts w:ascii="Arial" w:hAnsi="Arial" w:cs="Arial"/>
                <w:color w:val="000000"/>
                <w:sz w:val="24"/>
                <w:szCs w:val="24"/>
              </w:rPr>
              <w:t xml:space="preserve"> language </w:t>
            </w:r>
            <w:r w:rsidR="0002337B">
              <w:rPr>
                <w:rFonts w:ascii="Arial" w:hAnsi="Arial" w:cs="Arial"/>
                <w:color w:val="000000"/>
                <w:sz w:val="24"/>
                <w:szCs w:val="24"/>
              </w:rPr>
              <w:t>within</w:t>
            </w:r>
            <w:r w:rsidR="008A6FC4" w:rsidRPr="00EC16B7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strategy </w:t>
            </w:r>
            <w:r w:rsidR="00EC16B7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="00B41142" w:rsidRPr="00EC16B7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EC16B7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EC16B7">
              <w:rPr>
                <w:rFonts w:ascii="Arial" w:hAnsi="Arial" w:cs="Arial"/>
                <w:color w:val="000000"/>
                <w:sz w:val="24"/>
                <w:szCs w:val="24"/>
              </w:rPr>
              <w:t>ing</w:t>
            </w:r>
            <w:r w:rsidR="00B41142" w:rsidRPr="00EC16B7">
              <w:rPr>
                <w:rFonts w:ascii="Arial" w:hAnsi="Arial" w:cs="Arial"/>
                <w:color w:val="000000"/>
                <w:sz w:val="24"/>
                <w:szCs w:val="24"/>
              </w:rPr>
              <w:t xml:space="preserve"> an </w:t>
            </w:r>
            <w:r w:rsidR="008A6FC4" w:rsidRPr="00EC16B7">
              <w:rPr>
                <w:rFonts w:ascii="Arial" w:hAnsi="Arial" w:cs="Arial"/>
                <w:color w:val="000000"/>
                <w:sz w:val="24"/>
                <w:szCs w:val="24"/>
              </w:rPr>
              <w:t>opportunity to cla</w:t>
            </w:r>
            <w:r w:rsidR="00C36E03" w:rsidRPr="00EC16B7">
              <w:rPr>
                <w:rFonts w:ascii="Arial" w:hAnsi="Arial" w:cs="Arial"/>
                <w:color w:val="000000"/>
                <w:sz w:val="24"/>
                <w:szCs w:val="24"/>
              </w:rPr>
              <w:t>rify</w:t>
            </w:r>
            <w:r w:rsidR="008A6FC4" w:rsidRPr="00EC16B7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explain </w:t>
            </w:r>
            <w:r w:rsidR="0002337B">
              <w:rPr>
                <w:rFonts w:ascii="Arial" w:hAnsi="Arial" w:cs="Arial"/>
                <w:color w:val="000000"/>
                <w:sz w:val="24"/>
                <w:szCs w:val="24"/>
              </w:rPr>
              <w:t xml:space="preserve">exactly </w:t>
            </w:r>
            <w:r w:rsidRPr="00EC16B7">
              <w:rPr>
                <w:rFonts w:ascii="Arial" w:hAnsi="Arial" w:cs="Arial"/>
                <w:color w:val="000000"/>
                <w:sz w:val="24"/>
                <w:szCs w:val="24"/>
              </w:rPr>
              <w:t>how the model worked</w:t>
            </w:r>
          </w:p>
          <w:p w14:paraId="0438B02E" w14:textId="77777777" w:rsidR="0002337B" w:rsidRPr="00537925" w:rsidRDefault="0002337B" w:rsidP="0002337B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925">
              <w:rPr>
                <w:rFonts w:ascii="Arial" w:hAnsi="Arial" w:cs="Arial"/>
                <w:color w:val="000000"/>
                <w:sz w:val="24"/>
                <w:szCs w:val="24"/>
              </w:rPr>
              <w:t>Extensive support for the strategy</w:t>
            </w:r>
          </w:p>
          <w:p w14:paraId="0DCB886A" w14:textId="77777777" w:rsidR="0002337B" w:rsidRPr="00537925" w:rsidRDefault="0002337B" w:rsidP="0002337B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925">
              <w:rPr>
                <w:rFonts w:ascii="Arial" w:hAnsi="Arial" w:cs="Arial"/>
                <w:color w:val="000000"/>
                <w:sz w:val="24"/>
                <w:szCs w:val="24"/>
              </w:rPr>
              <w:t>Confident all partners employ and proceed with the implementation</w:t>
            </w:r>
          </w:p>
          <w:p w14:paraId="2715D097" w14:textId="0AEFFD49" w:rsidR="00537925" w:rsidRDefault="00537925" w:rsidP="00E46A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D4977C" w14:textId="46DEB4D6" w:rsidR="00537925" w:rsidRDefault="0002337B" w:rsidP="00E46A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Following the events, a major revision has now been completed </w:t>
            </w:r>
            <w:r w:rsid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of the </w:t>
            </w:r>
            <w:r w:rsidR="00E91CE0">
              <w:rPr>
                <w:rFonts w:ascii="Arial" w:hAnsi="Arial" w:cs="Arial"/>
                <w:color w:val="000000"/>
                <w:sz w:val="24"/>
                <w:szCs w:val="24"/>
              </w:rPr>
              <w:t>NWD Strategy</w:t>
            </w:r>
            <w:r w:rsidR="00EC16B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E91CE0">
              <w:rPr>
                <w:rFonts w:ascii="Arial" w:hAnsi="Arial" w:cs="Arial"/>
                <w:color w:val="000000"/>
                <w:sz w:val="24"/>
                <w:szCs w:val="24"/>
              </w:rPr>
              <w:t xml:space="preserve">incorporating all </w:t>
            </w:r>
            <w:r w:rsid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comments and feedback provided </w:t>
            </w:r>
            <w:r w:rsidR="00E91CE0">
              <w:rPr>
                <w:rFonts w:ascii="Arial" w:hAnsi="Arial" w:cs="Arial"/>
                <w:color w:val="000000"/>
                <w:sz w:val="24"/>
                <w:szCs w:val="24"/>
              </w:rPr>
              <w:t xml:space="preserve">from the events.  </w:t>
            </w:r>
            <w:r w:rsidR="00537925" w:rsidRPr="00537925">
              <w:rPr>
                <w:rFonts w:ascii="Arial" w:hAnsi="Arial" w:cs="Arial"/>
                <w:color w:val="000000"/>
                <w:sz w:val="24"/>
                <w:szCs w:val="24"/>
              </w:rPr>
              <w:t>The NWD Strategy presented today</w:t>
            </w:r>
            <w:r w:rsidR="00EC16B7">
              <w:rPr>
                <w:rFonts w:ascii="Arial" w:hAnsi="Arial" w:cs="Arial"/>
                <w:color w:val="000000"/>
                <w:sz w:val="24"/>
                <w:szCs w:val="24"/>
              </w:rPr>
              <w:t xml:space="preserve"> is the final version, </w:t>
            </w:r>
            <w:r w:rsidR="00E91CE0">
              <w:rPr>
                <w:rFonts w:ascii="Arial" w:hAnsi="Arial" w:cs="Arial"/>
                <w:color w:val="000000"/>
                <w:sz w:val="24"/>
                <w:szCs w:val="24"/>
              </w:rPr>
              <w:t xml:space="preserve">for approval by the NWRPB and implementation. </w:t>
            </w:r>
            <w:r w:rsidR="0053792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0252908E" w14:textId="77777777" w:rsidR="00B92021" w:rsidRDefault="00B92021" w:rsidP="00E46A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95FF8E" w14:textId="0C322C47" w:rsidR="00C36E03" w:rsidRDefault="00C36E03" w:rsidP="00E46A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Further comments provided from NWRPB members included:</w:t>
            </w:r>
          </w:p>
          <w:p w14:paraId="7BD94DDF" w14:textId="4B5721BE" w:rsidR="00C36E03" w:rsidRDefault="000867AD" w:rsidP="00E46A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7AD">
              <w:rPr>
                <w:rFonts w:ascii="Arial" w:hAnsi="Arial" w:cs="Arial"/>
                <w:color w:val="000000"/>
                <w:sz w:val="24"/>
                <w:szCs w:val="24"/>
              </w:rPr>
              <w:t>The title ‘A community based strategy for Child and Adolescent Mental Health’ denoted more of a strategy to transform CA</w:t>
            </w:r>
            <w:r w:rsidR="00DA4045">
              <w:rPr>
                <w:rFonts w:ascii="Arial" w:hAnsi="Arial" w:cs="Arial"/>
                <w:color w:val="000000"/>
                <w:sz w:val="24"/>
                <w:szCs w:val="24"/>
              </w:rPr>
              <w:t xml:space="preserve">MHS, whereas the NWD is broader, concerning </w:t>
            </w:r>
            <w:r w:rsidRPr="000867AD">
              <w:rPr>
                <w:rFonts w:ascii="Arial" w:hAnsi="Arial" w:cs="Arial"/>
                <w:color w:val="000000"/>
                <w:sz w:val="24"/>
                <w:szCs w:val="24"/>
              </w:rPr>
              <w:t>children with complex needs wit</w:t>
            </w:r>
            <w:r w:rsidR="00BB24F3">
              <w:rPr>
                <w:rFonts w:ascii="Arial" w:hAnsi="Arial" w:cs="Arial"/>
                <w:color w:val="000000"/>
                <w:sz w:val="24"/>
                <w:szCs w:val="24"/>
              </w:rPr>
              <w:t>h early intervention principles, undertaken in partnership.</w:t>
            </w:r>
            <w:r w:rsidRPr="000867A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region is c</w:t>
            </w:r>
            <w:r w:rsidR="00C36E03">
              <w:rPr>
                <w:rFonts w:ascii="Arial" w:hAnsi="Arial" w:cs="Arial"/>
                <w:color w:val="000000"/>
                <w:sz w:val="24"/>
                <w:szCs w:val="24"/>
              </w:rPr>
              <w:t>urrent</w:t>
            </w:r>
            <w:r w:rsidR="008E1A78">
              <w:rPr>
                <w:rFonts w:ascii="Arial" w:hAnsi="Arial" w:cs="Arial"/>
                <w:color w:val="000000"/>
                <w:sz w:val="24"/>
                <w:szCs w:val="24"/>
              </w:rPr>
              <w:t xml:space="preserve">ly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consulting and undertaking </w:t>
            </w:r>
            <w:r w:rsidR="00C36E03">
              <w:rPr>
                <w:rFonts w:ascii="Arial" w:hAnsi="Arial" w:cs="Arial"/>
                <w:color w:val="000000"/>
                <w:sz w:val="24"/>
                <w:szCs w:val="24"/>
              </w:rPr>
              <w:t xml:space="preserve">engagement work with young people to ensure the title is reflective of the strategy.  </w:t>
            </w:r>
          </w:p>
          <w:p w14:paraId="3EE1F603" w14:textId="558B6FE5" w:rsidR="000867AD" w:rsidRPr="001B372F" w:rsidRDefault="001B372F" w:rsidP="00E46A5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B372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RG welcomes an updated title to the strategy </w:t>
            </w:r>
            <w:r w:rsid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>with input from young people/discussed further by the NWRPB children’s sub-group.</w:t>
            </w:r>
          </w:p>
          <w:p w14:paraId="25FEAAFF" w14:textId="77777777" w:rsidR="000867AD" w:rsidRDefault="000867AD" w:rsidP="00E46A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08AC9C" w14:textId="30920D0A" w:rsidR="001B372F" w:rsidRDefault="00BB24F3" w:rsidP="00E46A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Comment</w:t>
            </w:r>
            <w:r w:rsidR="00CF1C2A">
              <w:rPr>
                <w:rFonts w:ascii="Arial" w:hAnsi="Arial" w:cs="Arial"/>
                <w:color w:val="000000"/>
                <w:sz w:val="24"/>
                <w:szCs w:val="24"/>
              </w:rPr>
              <w:t xml:space="preserve"> to be noted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When</w:t>
            </w:r>
            <w:r w:rsidR="001B372F">
              <w:rPr>
                <w:rFonts w:ascii="Arial" w:hAnsi="Arial" w:cs="Arial"/>
                <w:color w:val="000000"/>
                <w:sz w:val="24"/>
                <w:szCs w:val="24"/>
              </w:rPr>
              <w:t xml:space="preserve"> discussing children and young people, young people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nearly </w:t>
            </w:r>
            <w:r w:rsidR="001B372F">
              <w:rPr>
                <w:rFonts w:ascii="Arial" w:hAnsi="Arial" w:cs="Arial"/>
                <w:color w:val="000000"/>
                <w:sz w:val="24"/>
                <w:szCs w:val="24"/>
              </w:rPr>
              <w:t xml:space="preserve">always tend to fall under </w:t>
            </w:r>
            <w:r w:rsidR="00CF1C2A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1B372F">
              <w:rPr>
                <w:rFonts w:ascii="Arial" w:hAnsi="Arial" w:cs="Arial"/>
                <w:color w:val="000000"/>
                <w:sz w:val="24"/>
                <w:szCs w:val="24"/>
              </w:rPr>
              <w:t xml:space="preserve">dult </w:t>
            </w:r>
            <w:r w:rsidR="00CF1C2A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1B372F">
              <w:rPr>
                <w:rFonts w:ascii="Arial" w:hAnsi="Arial" w:cs="Arial"/>
                <w:color w:val="000000"/>
                <w:sz w:val="24"/>
                <w:szCs w:val="24"/>
              </w:rPr>
              <w:t xml:space="preserve">ervices or </w:t>
            </w:r>
            <w:r w:rsidR="00CF1C2A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1B372F">
              <w:rPr>
                <w:rFonts w:ascii="Arial" w:hAnsi="Arial" w:cs="Arial"/>
                <w:color w:val="000000"/>
                <w:sz w:val="24"/>
                <w:szCs w:val="24"/>
              </w:rPr>
              <w:t xml:space="preserve">hildren </w:t>
            </w:r>
            <w:r w:rsidR="00CF1C2A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1B372F">
              <w:rPr>
                <w:rFonts w:ascii="Arial" w:hAnsi="Arial" w:cs="Arial"/>
                <w:color w:val="000000"/>
                <w:sz w:val="24"/>
                <w:szCs w:val="24"/>
              </w:rPr>
              <w:t xml:space="preserve">ervices.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NWD Strategy refers to young people accessing </w:t>
            </w:r>
            <w:r w:rsidR="00CF1C2A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hildren’s </w:t>
            </w:r>
            <w:r w:rsidR="00CF1C2A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ervices, and although transition </w:t>
            </w:r>
            <w:r w:rsidR="00DA4045">
              <w:rPr>
                <w:rFonts w:ascii="Arial" w:hAnsi="Arial" w:cs="Arial"/>
                <w:color w:val="000000"/>
                <w:sz w:val="24"/>
                <w:szCs w:val="24"/>
              </w:rPr>
              <w:t>forms part of the NWD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Strategy, v</w:t>
            </w:r>
            <w:r w:rsidR="001B372F">
              <w:rPr>
                <w:rFonts w:ascii="Arial" w:hAnsi="Arial" w:cs="Arial"/>
                <w:color w:val="000000"/>
                <w:sz w:val="24"/>
                <w:szCs w:val="24"/>
              </w:rPr>
              <w:t>ulnerable children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</w:t>
            </w:r>
            <w:r w:rsidR="001B372F">
              <w:rPr>
                <w:rFonts w:ascii="Arial" w:hAnsi="Arial" w:cs="Arial"/>
                <w:color w:val="000000"/>
                <w:sz w:val="24"/>
                <w:szCs w:val="24"/>
              </w:rPr>
              <w:t>ver 18 years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not in education</w:t>
            </w:r>
            <w:r w:rsidR="00A017F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E41609">
              <w:rPr>
                <w:rFonts w:ascii="Arial" w:hAnsi="Arial" w:cs="Arial"/>
                <w:color w:val="000000"/>
                <w:sz w:val="24"/>
                <w:szCs w:val="24"/>
              </w:rPr>
              <w:t xml:space="preserve">and children 18-25 years </w:t>
            </w:r>
            <w:r w:rsidR="008E1A78">
              <w:rPr>
                <w:rFonts w:ascii="Arial" w:hAnsi="Arial" w:cs="Arial"/>
                <w:color w:val="000000"/>
                <w:sz w:val="24"/>
                <w:szCs w:val="24"/>
              </w:rPr>
              <w:t xml:space="preserve">tend to </w:t>
            </w:r>
            <w:r w:rsidR="001B372F">
              <w:rPr>
                <w:rFonts w:ascii="Arial" w:hAnsi="Arial" w:cs="Arial"/>
                <w:color w:val="000000"/>
                <w:sz w:val="24"/>
                <w:szCs w:val="24"/>
              </w:rPr>
              <w:t>miss out on services.</w:t>
            </w:r>
          </w:p>
          <w:p w14:paraId="7E6CE0F2" w14:textId="6E0B01D6" w:rsidR="00DA4045" w:rsidRPr="008E1A78" w:rsidRDefault="00B92021" w:rsidP="00E46A5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>R</w:t>
            </w:r>
            <w:r w:rsidR="001B372F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G </w:t>
            </w:r>
            <w:r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>agree</w:t>
            </w:r>
            <w:r w:rsidR="00DA4045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>d, and clarified when considering the best practice emerging across Britain and wider</w:t>
            </w:r>
            <w:r w:rsidR="00CF1C2A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="00DA4045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there is a recognition that strategies need to consider the 0-25 age range.  Work is also required on aligning other work to the strategy, and a number of LA’s, when considering transition, have moved to 0-25+ service in place of Children or Adults Services.</w:t>
            </w:r>
          </w:p>
          <w:p w14:paraId="0E069F0A" w14:textId="77777777" w:rsidR="00B92021" w:rsidRPr="008E1A78" w:rsidRDefault="00B92021" w:rsidP="00E46A5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33BD88D6" w14:textId="7A60E4D6" w:rsidR="00B92021" w:rsidRDefault="00A017F6" w:rsidP="008E1A78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In terms of the MH service, the model discussed in the </w:t>
            </w:r>
            <w:r w:rsidR="00E41609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>NWD S</w:t>
            </w:r>
            <w:r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trategy is the </w:t>
            </w:r>
            <w:r w:rsidR="00B92021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>Solihull model</w:t>
            </w:r>
            <w:r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, </w:t>
            </w:r>
            <w:r w:rsidR="00B92021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taking </w:t>
            </w:r>
            <w:r w:rsidR="00E41609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the </w:t>
            </w:r>
            <w:r w:rsidR="00B92021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principle </w:t>
            </w:r>
            <w:r w:rsidR="00E41609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of </w:t>
            </w:r>
            <w:r w:rsidR="00B92021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>child</w:t>
            </w:r>
            <w:r w:rsidR="008E1A78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>/</w:t>
            </w:r>
            <w:r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>young person</w:t>
            </w:r>
            <w:r w:rsidR="00B92021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centred, </w:t>
            </w:r>
            <w:r w:rsid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which is </w:t>
            </w:r>
            <w:r w:rsidR="00E41609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crucial to </w:t>
            </w:r>
            <w:r w:rsidR="008E1A78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obtain the </w:t>
            </w:r>
            <w:r w:rsidR="00B92021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right service at the right time, </w:t>
            </w:r>
            <w:r w:rsidR="00E41609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than </w:t>
            </w:r>
            <w:r w:rsidR="005F2102">
              <w:rPr>
                <w:rFonts w:ascii="Arial" w:hAnsi="Arial" w:cs="Arial"/>
                <w:i/>
                <w:color w:val="000000"/>
                <w:sz w:val="24"/>
                <w:szCs w:val="24"/>
              </w:rPr>
              <w:t>adhering</w:t>
            </w:r>
            <w:r w:rsid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E41609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to any artificial administrative boundaries</w:t>
            </w:r>
            <w:r w:rsidR="008E1A78" w:rsidRPr="008E1A78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14:paraId="2B4364A8" w14:textId="77777777" w:rsidR="00D401C5" w:rsidRDefault="00D401C5" w:rsidP="00E46A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ED67F5" w14:textId="27BA9CFB" w:rsidR="00D401C5" w:rsidRDefault="00BF0518" w:rsidP="00FF65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NWRPB were in agreement to endorse the final version of the NWD Strategy and Executive Summary, taking into account an amendmen</w:t>
            </w:r>
            <w:r w:rsidR="008E1A78">
              <w:rPr>
                <w:rFonts w:ascii="Arial" w:hAnsi="Arial" w:cs="Arial"/>
                <w:color w:val="000000"/>
                <w:sz w:val="24"/>
                <w:szCs w:val="24"/>
              </w:rPr>
              <w:t xml:space="preserve">t to the title of the strategy, </w:t>
            </w:r>
            <w:r w:rsidR="00FF659B">
              <w:rPr>
                <w:rFonts w:ascii="Arial" w:hAnsi="Arial" w:cs="Arial"/>
                <w:color w:val="000000"/>
                <w:sz w:val="24"/>
                <w:szCs w:val="24"/>
              </w:rPr>
              <w:t xml:space="preserve">which will be </w:t>
            </w:r>
            <w:r w:rsidR="008E1A78">
              <w:rPr>
                <w:rFonts w:ascii="Arial" w:hAnsi="Arial" w:cs="Arial"/>
                <w:color w:val="000000"/>
                <w:sz w:val="24"/>
                <w:szCs w:val="24"/>
              </w:rPr>
              <w:t>undertaken by the NWRPB Children’s sub group.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DF92883" w14:textId="5A941290" w:rsidR="00BF0518" w:rsidRDefault="00BF0518" w:rsidP="00FF65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990A95" w14:textId="2C6092F3" w:rsidR="00BF0518" w:rsidRDefault="00BF0518" w:rsidP="00FF65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CF1C2A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FF659B">
              <w:rPr>
                <w:rFonts w:ascii="Arial" w:hAnsi="Arial" w:cs="Arial"/>
                <w:color w:val="000000"/>
                <w:sz w:val="24"/>
                <w:szCs w:val="24"/>
              </w:rPr>
              <w:t xml:space="preserve">WRPB children’s sub-group will also undertake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implementation of the NWD Strategy </w:t>
            </w:r>
            <w:r w:rsidR="00FF659B">
              <w:rPr>
                <w:rFonts w:ascii="Arial" w:hAnsi="Arial" w:cs="Arial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provide periodic </w:t>
            </w:r>
            <w:r w:rsidR="00FF659B">
              <w:rPr>
                <w:rFonts w:ascii="Arial" w:hAnsi="Arial" w:cs="Arial"/>
                <w:color w:val="000000"/>
                <w:sz w:val="24"/>
                <w:szCs w:val="24"/>
              </w:rPr>
              <w:t>progress reports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 the NWRPB.</w:t>
            </w:r>
          </w:p>
          <w:p w14:paraId="24FB3D1A" w14:textId="77777777" w:rsidR="00BF0518" w:rsidRDefault="00BF0518" w:rsidP="00FF65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EDF982" w14:textId="0FF24EB8" w:rsidR="00EC16B7" w:rsidRDefault="00BF0518" w:rsidP="00E46A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NWD Strategy</w:t>
            </w:r>
            <w:r w:rsidRPr="00BF0518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require to be taken through the governance process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6 LA’s and BCU</w:t>
            </w:r>
            <w:r w:rsidRPr="00BF0518">
              <w:rPr>
                <w:rFonts w:ascii="Arial" w:hAnsi="Arial" w:cs="Arial"/>
                <w:color w:val="000000"/>
                <w:sz w:val="24"/>
                <w:szCs w:val="24"/>
              </w:rPr>
              <w:t xml:space="preserve"> in due course.</w:t>
            </w:r>
          </w:p>
          <w:p w14:paraId="1C5B63D2" w14:textId="54D0738E" w:rsidR="009025AF" w:rsidRPr="00FD065A" w:rsidRDefault="009025AF" w:rsidP="00E46A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79113C89" w14:textId="14EA5712" w:rsidR="00305620" w:rsidRPr="004B2D23" w:rsidRDefault="00305620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C5E" w:rsidRPr="004B2D23" w14:paraId="24F46E4C" w14:textId="77777777" w:rsidTr="001B372F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7DCDD74D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987" w:type="dxa"/>
            <w:tcBorders>
              <w:bottom w:val="single" w:sz="4" w:space="0" w:color="auto"/>
            </w:tcBorders>
            <w:shd w:val="clear" w:color="auto" w:fill="auto"/>
          </w:tcPr>
          <w:p w14:paraId="07B670B4" w14:textId="1B6C9D55" w:rsidR="00FF659B" w:rsidRDefault="00FF659B" w:rsidP="009E1094">
            <w:pPr>
              <w:pStyle w:val="TableParagraph"/>
              <w:ind w:left="4" w:right="33"/>
              <w:rPr>
                <w:sz w:val="24"/>
                <w:szCs w:val="24"/>
                <w:u w:val="single"/>
              </w:rPr>
            </w:pPr>
            <w:r w:rsidRPr="00FF659B">
              <w:rPr>
                <w:sz w:val="24"/>
                <w:szCs w:val="24"/>
                <w:u w:val="single"/>
              </w:rPr>
              <w:t xml:space="preserve">Population Needs Assessment (PNA) report update </w:t>
            </w:r>
          </w:p>
          <w:p w14:paraId="5365813E" w14:textId="7544DA41" w:rsidR="00256200" w:rsidRDefault="00256200" w:rsidP="00CF1C2A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received a report from CP on the</w:t>
            </w:r>
            <w:r>
              <w:t xml:space="preserve"> </w:t>
            </w:r>
            <w:r w:rsidRPr="00256200">
              <w:rPr>
                <w:sz w:val="24"/>
                <w:szCs w:val="24"/>
              </w:rPr>
              <w:t>overview of the North Wales Population Needs Assessment 2022 which has been produced as a requirement of the Social Services and Well-being (Wales) Act 2014.</w:t>
            </w:r>
            <w:r>
              <w:rPr>
                <w:sz w:val="24"/>
                <w:szCs w:val="24"/>
              </w:rPr>
              <w:t xml:space="preserve">  </w:t>
            </w:r>
          </w:p>
          <w:p w14:paraId="42A3BC9B" w14:textId="75262083" w:rsidR="009025AF" w:rsidRDefault="006D25D5" w:rsidP="00CF1C2A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6D25D5">
              <w:rPr>
                <w:sz w:val="24"/>
                <w:szCs w:val="24"/>
              </w:rPr>
              <w:t>The PNA</w:t>
            </w:r>
            <w:r w:rsidR="003452DD">
              <w:rPr>
                <w:sz w:val="24"/>
                <w:szCs w:val="24"/>
              </w:rPr>
              <w:t xml:space="preserve"> is </w:t>
            </w:r>
            <w:r w:rsidRPr="006D25D5">
              <w:rPr>
                <w:sz w:val="24"/>
                <w:szCs w:val="24"/>
              </w:rPr>
              <w:t>undertaken every 5 years</w:t>
            </w:r>
            <w:r w:rsidR="00CF1C2A">
              <w:rPr>
                <w:sz w:val="24"/>
                <w:szCs w:val="24"/>
              </w:rPr>
              <w:t xml:space="preserve">, with the previous </w:t>
            </w:r>
            <w:r w:rsidR="003452DD">
              <w:rPr>
                <w:sz w:val="24"/>
                <w:szCs w:val="24"/>
              </w:rPr>
              <w:t xml:space="preserve">PNA published </w:t>
            </w:r>
            <w:r w:rsidR="003452DD">
              <w:rPr>
                <w:sz w:val="24"/>
                <w:szCs w:val="24"/>
              </w:rPr>
              <w:lastRenderedPageBreak/>
              <w:t>in 2017</w:t>
            </w:r>
            <w:r w:rsidR="00CF1C2A">
              <w:rPr>
                <w:sz w:val="24"/>
                <w:szCs w:val="24"/>
              </w:rPr>
              <w:t>.  The PNA requires</w:t>
            </w:r>
            <w:r w:rsidRPr="006D25D5">
              <w:rPr>
                <w:sz w:val="24"/>
                <w:szCs w:val="24"/>
              </w:rPr>
              <w:t xml:space="preserve"> </w:t>
            </w:r>
            <w:r w:rsidR="00256200" w:rsidRPr="00256200">
              <w:rPr>
                <w:sz w:val="24"/>
                <w:szCs w:val="24"/>
              </w:rPr>
              <w:t>local authorities and health boards to assess the demand of care and support needs of their local populations</w:t>
            </w:r>
            <w:r w:rsidR="003452DD">
              <w:rPr>
                <w:sz w:val="24"/>
                <w:szCs w:val="24"/>
              </w:rPr>
              <w:t xml:space="preserve">.  The </w:t>
            </w:r>
            <w:r w:rsidR="00CF1C2A">
              <w:rPr>
                <w:sz w:val="24"/>
                <w:szCs w:val="24"/>
              </w:rPr>
              <w:t xml:space="preserve">final </w:t>
            </w:r>
            <w:r w:rsidR="003452DD">
              <w:rPr>
                <w:sz w:val="24"/>
                <w:szCs w:val="24"/>
              </w:rPr>
              <w:t>PNA document will feed into the Market Stability Report (</w:t>
            </w:r>
            <w:r>
              <w:rPr>
                <w:sz w:val="24"/>
                <w:szCs w:val="24"/>
              </w:rPr>
              <w:t>MSR</w:t>
            </w:r>
            <w:r w:rsidR="003452D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a </w:t>
            </w:r>
            <w:r w:rsidR="00CF1C2A">
              <w:rPr>
                <w:sz w:val="24"/>
                <w:szCs w:val="24"/>
              </w:rPr>
              <w:t>recent</w:t>
            </w:r>
            <w:r>
              <w:rPr>
                <w:sz w:val="24"/>
                <w:szCs w:val="24"/>
              </w:rPr>
              <w:t xml:space="preserve"> </w:t>
            </w:r>
            <w:r w:rsidR="003452DD">
              <w:rPr>
                <w:sz w:val="24"/>
                <w:szCs w:val="24"/>
              </w:rPr>
              <w:t xml:space="preserve">WG </w:t>
            </w:r>
            <w:r>
              <w:rPr>
                <w:sz w:val="24"/>
                <w:szCs w:val="24"/>
              </w:rPr>
              <w:t xml:space="preserve">requirement, </w:t>
            </w:r>
            <w:r w:rsidR="00D32B44">
              <w:rPr>
                <w:sz w:val="24"/>
                <w:szCs w:val="24"/>
              </w:rPr>
              <w:t xml:space="preserve">requesting </w:t>
            </w:r>
            <w:r w:rsidR="00256200" w:rsidRPr="00256200">
              <w:rPr>
                <w:sz w:val="24"/>
                <w:szCs w:val="24"/>
              </w:rPr>
              <w:t>local authorities and health boards to consider the sufficiency and stability o</w:t>
            </w:r>
            <w:r w:rsidR="003452DD">
              <w:rPr>
                <w:sz w:val="24"/>
                <w:szCs w:val="24"/>
              </w:rPr>
              <w:t>f supply in meeting that demand</w:t>
            </w:r>
            <w:r w:rsidR="00CF1C2A">
              <w:rPr>
                <w:sz w:val="24"/>
                <w:szCs w:val="24"/>
              </w:rPr>
              <w:t>.  The MSR document deadline is J</w:t>
            </w:r>
            <w:r w:rsidR="00256200" w:rsidRPr="00256200">
              <w:rPr>
                <w:sz w:val="24"/>
                <w:szCs w:val="24"/>
              </w:rPr>
              <w:t>une 2022; via the Regional Partnership Board.</w:t>
            </w:r>
            <w:r w:rsidR="009025A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</w:p>
          <w:p w14:paraId="4AED9E90" w14:textId="42FBA4C6" w:rsidR="009025AF" w:rsidRDefault="009025AF" w:rsidP="00CF1C2A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0FC5C3C9" w14:textId="43A08A6F" w:rsidR="003452DD" w:rsidRDefault="003452DD" w:rsidP="00CF1C2A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requirement of the CoP states the PNA will </w:t>
            </w:r>
            <w:r w:rsidR="009025AF">
              <w:rPr>
                <w:sz w:val="24"/>
                <w:szCs w:val="24"/>
              </w:rPr>
              <w:t xml:space="preserve">require to be </w:t>
            </w:r>
            <w:r w:rsidR="009025AF" w:rsidRPr="009025AF">
              <w:rPr>
                <w:sz w:val="24"/>
                <w:szCs w:val="24"/>
              </w:rPr>
              <w:t>approved</w:t>
            </w:r>
            <w:r>
              <w:rPr>
                <w:sz w:val="24"/>
                <w:szCs w:val="24"/>
              </w:rPr>
              <w:t xml:space="preserve"> by Scrutiny Committee, Cabinet meeting and Full Council mee</w:t>
            </w:r>
            <w:r w:rsidR="00D32B44">
              <w:rPr>
                <w:sz w:val="24"/>
                <w:szCs w:val="24"/>
              </w:rPr>
              <w:t>ting</w:t>
            </w:r>
            <w:r>
              <w:rPr>
                <w:sz w:val="24"/>
                <w:szCs w:val="24"/>
              </w:rPr>
              <w:t xml:space="preserve"> for each of the Local Authority areas and through the Board of the LHB.  </w:t>
            </w:r>
          </w:p>
          <w:p w14:paraId="767DEBE4" w14:textId="714266BF" w:rsidR="00D32B44" w:rsidRDefault="003452DD" w:rsidP="00CF1C2A">
            <w:pPr>
              <w:pStyle w:val="TableParagraph"/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</w:t>
            </w:r>
            <w:r w:rsidR="009025AF">
              <w:rPr>
                <w:sz w:val="24"/>
                <w:szCs w:val="24"/>
              </w:rPr>
              <w:t>inal</w:t>
            </w:r>
            <w:r w:rsidR="00D32B44">
              <w:rPr>
                <w:sz w:val="24"/>
                <w:szCs w:val="24"/>
              </w:rPr>
              <w:t xml:space="preserve"> PNA document will</w:t>
            </w:r>
            <w:r>
              <w:rPr>
                <w:sz w:val="24"/>
                <w:szCs w:val="24"/>
              </w:rPr>
              <w:t xml:space="preserve"> be presented to the NWRPB 11.3.2022 and </w:t>
            </w:r>
            <w:r w:rsidR="00D32B44">
              <w:rPr>
                <w:sz w:val="24"/>
                <w:szCs w:val="24"/>
              </w:rPr>
              <w:t>published on partners’ websites by 31.3.2022.</w:t>
            </w:r>
          </w:p>
          <w:p w14:paraId="4FFD85EE" w14:textId="77777777" w:rsidR="00D32B44" w:rsidRDefault="00D32B44" w:rsidP="00CF1C2A">
            <w:pPr>
              <w:pStyle w:val="TableParagraph"/>
              <w:ind w:right="33"/>
              <w:rPr>
                <w:sz w:val="24"/>
                <w:szCs w:val="24"/>
              </w:rPr>
            </w:pPr>
          </w:p>
          <w:p w14:paraId="200FA762" w14:textId="52EA827D" w:rsidR="00995F3A" w:rsidRDefault="00D32B44" w:rsidP="00995F3A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Earlier in 2021, t</w:t>
            </w:r>
            <w:r w:rsidR="009025AF">
              <w:rPr>
                <w:sz w:val="24"/>
                <w:szCs w:val="24"/>
              </w:rPr>
              <w:t>he NWRPB delegated</w:t>
            </w:r>
            <w:r w:rsidR="00284A4D">
              <w:rPr>
                <w:sz w:val="24"/>
                <w:szCs w:val="24"/>
              </w:rPr>
              <w:t xml:space="preserve"> work on the PNA</w:t>
            </w:r>
            <w:r w:rsidR="009025AF">
              <w:rPr>
                <w:sz w:val="24"/>
                <w:szCs w:val="24"/>
              </w:rPr>
              <w:t xml:space="preserve"> to the Regional Commissioning Board (RCB)</w:t>
            </w:r>
            <w:r>
              <w:rPr>
                <w:sz w:val="24"/>
                <w:szCs w:val="24"/>
              </w:rPr>
              <w:t xml:space="preserve"> </w:t>
            </w:r>
            <w:r w:rsidR="00995F3A">
              <w:rPr>
                <w:sz w:val="24"/>
                <w:szCs w:val="24"/>
              </w:rPr>
              <w:t xml:space="preserve">PNA </w:t>
            </w:r>
            <w:r>
              <w:rPr>
                <w:sz w:val="24"/>
                <w:szCs w:val="24"/>
              </w:rPr>
              <w:t>Steering Group</w:t>
            </w:r>
            <w:r w:rsidR="00CF1C2A">
              <w:rPr>
                <w:sz w:val="24"/>
                <w:szCs w:val="24"/>
              </w:rPr>
              <w:t>, who were</w:t>
            </w:r>
            <w:r>
              <w:rPr>
                <w:sz w:val="24"/>
                <w:szCs w:val="24"/>
              </w:rPr>
              <w:t xml:space="preserve"> </w:t>
            </w:r>
            <w:r w:rsidR="009025AF">
              <w:rPr>
                <w:sz w:val="24"/>
                <w:szCs w:val="24"/>
              </w:rPr>
              <w:t>tasked with</w:t>
            </w:r>
            <w:r>
              <w:rPr>
                <w:sz w:val="24"/>
                <w:szCs w:val="24"/>
              </w:rPr>
              <w:t xml:space="preserve"> collating the local level research of each LA</w:t>
            </w:r>
            <w:r w:rsidR="00995F3A">
              <w:rPr>
                <w:sz w:val="24"/>
                <w:szCs w:val="24"/>
              </w:rPr>
              <w:t xml:space="preserve">, which, in turn,  underpinned the </w:t>
            </w:r>
            <w:r>
              <w:rPr>
                <w:sz w:val="24"/>
                <w:szCs w:val="24"/>
              </w:rPr>
              <w:t>regional response</w:t>
            </w:r>
            <w:r w:rsidR="00CF1C2A">
              <w:rPr>
                <w:sz w:val="24"/>
                <w:szCs w:val="24"/>
              </w:rPr>
              <w:t xml:space="preserve">.  This work has been informed by </w:t>
            </w:r>
            <w:r w:rsidR="00995F3A">
              <w:rPr>
                <w:sz w:val="24"/>
                <w:szCs w:val="24"/>
              </w:rPr>
              <w:t>the</w:t>
            </w:r>
          </w:p>
          <w:p w14:paraId="3D7B2281" w14:textId="12356ED8" w:rsidR="009025AF" w:rsidRDefault="00995F3A" w:rsidP="00CF1C2A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025AF">
              <w:rPr>
                <w:sz w:val="24"/>
                <w:szCs w:val="24"/>
              </w:rPr>
              <w:t>ata Cell group</w:t>
            </w:r>
            <w:r>
              <w:rPr>
                <w:sz w:val="24"/>
                <w:szCs w:val="24"/>
              </w:rPr>
              <w:t xml:space="preserve"> (</w:t>
            </w:r>
            <w:r w:rsidR="009025AF">
              <w:rPr>
                <w:sz w:val="24"/>
                <w:szCs w:val="24"/>
              </w:rPr>
              <w:t>da</w:t>
            </w:r>
            <w:r w:rsidR="009025AF" w:rsidRPr="009025AF">
              <w:rPr>
                <w:sz w:val="24"/>
                <w:szCs w:val="24"/>
              </w:rPr>
              <w:t>ta analysis, staff consultation and report writing</w:t>
            </w:r>
            <w:r>
              <w:rPr>
                <w:sz w:val="24"/>
                <w:szCs w:val="24"/>
              </w:rPr>
              <w:t>) and the Engagement group (pu</w:t>
            </w:r>
            <w:r w:rsidR="009025AF" w:rsidRPr="009025AF">
              <w:rPr>
                <w:sz w:val="24"/>
                <w:szCs w:val="24"/>
              </w:rPr>
              <w:t>blic and service user engagement</w:t>
            </w:r>
            <w:r>
              <w:rPr>
                <w:sz w:val="24"/>
                <w:szCs w:val="24"/>
              </w:rPr>
              <w:t>).</w:t>
            </w:r>
          </w:p>
          <w:p w14:paraId="091F3A7C" w14:textId="77777777" w:rsidR="006D25D5" w:rsidRDefault="006D25D5" w:rsidP="0014427A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001948D8" w14:textId="64FECC59" w:rsidR="0014427A" w:rsidRDefault="00284A4D" w:rsidP="0014427A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PNA has been a huge co-production of work; </w:t>
            </w:r>
            <w:r w:rsidRPr="00284A4D">
              <w:rPr>
                <w:sz w:val="24"/>
                <w:szCs w:val="24"/>
              </w:rPr>
              <w:t>understanding the provisions already in place and drawing on the requirements across the region</w:t>
            </w:r>
            <w:r>
              <w:rPr>
                <w:sz w:val="24"/>
                <w:szCs w:val="24"/>
              </w:rPr>
              <w:t xml:space="preserve"> being </w:t>
            </w:r>
            <w:r w:rsidRPr="00284A4D">
              <w:rPr>
                <w:sz w:val="24"/>
                <w:szCs w:val="24"/>
              </w:rPr>
              <w:t xml:space="preserve">a significant </w:t>
            </w:r>
            <w:r w:rsidR="00995F3A">
              <w:rPr>
                <w:sz w:val="24"/>
                <w:szCs w:val="24"/>
              </w:rPr>
              <w:t>t</w:t>
            </w:r>
            <w:r w:rsidR="00D32B44">
              <w:rPr>
                <w:sz w:val="24"/>
                <w:szCs w:val="24"/>
              </w:rPr>
              <w:t xml:space="preserve">ask, especially </w:t>
            </w:r>
            <w:r w:rsidR="0014427A">
              <w:rPr>
                <w:sz w:val="24"/>
                <w:szCs w:val="24"/>
              </w:rPr>
              <w:t xml:space="preserve">taking into account the region </w:t>
            </w:r>
            <w:r w:rsidR="005F2102">
              <w:rPr>
                <w:sz w:val="24"/>
                <w:szCs w:val="24"/>
              </w:rPr>
              <w:t>was</w:t>
            </w:r>
            <w:r w:rsidR="0014427A">
              <w:rPr>
                <w:sz w:val="24"/>
                <w:szCs w:val="24"/>
              </w:rPr>
              <w:t xml:space="preserve"> also</w:t>
            </w:r>
            <w:r w:rsidR="00D32B44">
              <w:rPr>
                <w:sz w:val="24"/>
                <w:szCs w:val="24"/>
              </w:rPr>
              <w:t xml:space="preserve"> in the midst of the pandemic.</w:t>
            </w:r>
            <w:r w:rsidR="0014427A">
              <w:rPr>
                <w:sz w:val="24"/>
                <w:szCs w:val="24"/>
              </w:rPr>
              <w:t xml:space="preserve">  </w:t>
            </w:r>
            <w:r w:rsidR="0014427A" w:rsidRPr="0014427A">
              <w:rPr>
                <w:sz w:val="24"/>
                <w:szCs w:val="24"/>
              </w:rPr>
              <w:t xml:space="preserve">Chapters have been verified and evaluated </w:t>
            </w:r>
            <w:r w:rsidR="0014427A">
              <w:rPr>
                <w:sz w:val="24"/>
                <w:szCs w:val="24"/>
              </w:rPr>
              <w:t>by partner colleagues/groups throughout the course of the work.</w:t>
            </w:r>
          </w:p>
          <w:p w14:paraId="32906617" w14:textId="77777777" w:rsidR="00D32B44" w:rsidRDefault="00D32B44" w:rsidP="0014427A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100F2AD8" w14:textId="215A9B05" w:rsidR="00D32B44" w:rsidRDefault="00D32B44" w:rsidP="0014427A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NWRPB members are requested to feedback any further comments and issues within the report by Friday 21</w:t>
            </w:r>
            <w:r w:rsidRPr="00D32B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January, so that the final report is circulated to each partner </w:t>
            </w:r>
            <w:r w:rsidR="00B473D5">
              <w:rPr>
                <w:sz w:val="24"/>
                <w:szCs w:val="24"/>
              </w:rPr>
              <w:t xml:space="preserve">week beginning </w:t>
            </w:r>
            <w:r>
              <w:rPr>
                <w:sz w:val="24"/>
                <w:szCs w:val="24"/>
              </w:rPr>
              <w:t>2</w:t>
            </w:r>
            <w:r w:rsidR="00B473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.1.2022.</w:t>
            </w:r>
          </w:p>
          <w:p w14:paraId="51F43A93" w14:textId="77777777" w:rsidR="00D32B44" w:rsidRDefault="00D32B44" w:rsidP="00B676AA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12A73034" w14:textId="217FDA40" w:rsidR="00B7583C" w:rsidRDefault="006D25D5" w:rsidP="00B676AA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NWRPB members noted the following:</w:t>
            </w:r>
          </w:p>
          <w:p w14:paraId="5FAAA12E" w14:textId="77777777" w:rsidR="00B7583C" w:rsidRDefault="00B7583C" w:rsidP="00B676AA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17596057" w14:textId="0A354C07" w:rsidR="00B7583C" w:rsidRDefault="0014427A" w:rsidP="00B676AA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</w:t>
            </w:r>
            <w:r w:rsidR="00511D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proposed </w:t>
            </w:r>
            <w:r w:rsidR="00511D95">
              <w:rPr>
                <w:sz w:val="24"/>
                <w:szCs w:val="24"/>
              </w:rPr>
              <w:t xml:space="preserve">NWRPB </w:t>
            </w:r>
            <w:r>
              <w:rPr>
                <w:sz w:val="24"/>
                <w:szCs w:val="24"/>
              </w:rPr>
              <w:t xml:space="preserve">members </w:t>
            </w:r>
            <w:r w:rsidR="00511D95">
              <w:rPr>
                <w:sz w:val="24"/>
                <w:szCs w:val="24"/>
              </w:rPr>
              <w:t xml:space="preserve">could </w:t>
            </w:r>
            <w:r>
              <w:rPr>
                <w:sz w:val="24"/>
                <w:szCs w:val="24"/>
              </w:rPr>
              <w:t xml:space="preserve">support with supplying </w:t>
            </w:r>
            <w:r w:rsidR="00511D95">
              <w:rPr>
                <w:sz w:val="24"/>
                <w:szCs w:val="24"/>
              </w:rPr>
              <w:t xml:space="preserve">data for </w:t>
            </w:r>
            <w:r>
              <w:rPr>
                <w:sz w:val="24"/>
                <w:szCs w:val="24"/>
              </w:rPr>
              <w:t xml:space="preserve">any subsequent </w:t>
            </w:r>
            <w:r w:rsidR="00885290">
              <w:rPr>
                <w:sz w:val="24"/>
                <w:szCs w:val="24"/>
              </w:rPr>
              <w:t>consultation</w:t>
            </w:r>
            <w:r>
              <w:rPr>
                <w:sz w:val="24"/>
                <w:szCs w:val="24"/>
              </w:rPr>
              <w:t>.</w:t>
            </w:r>
          </w:p>
          <w:p w14:paraId="4FDD8327" w14:textId="169AD4D5" w:rsidR="003102E4" w:rsidRDefault="00B75A68" w:rsidP="00B676AA">
            <w:pPr>
              <w:pStyle w:val="TableParagraph"/>
              <w:ind w:left="4" w:right="33"/>
              <w:rPr>
                <w:i/>
                <w:sz w:val="24"/>
                <w:szCs w:val="24"/>
              </w:rPr>
            </w:pPr>
            <w:r w:rsidRPr="00B75A68">
              <w:rPr>
                <w:i/>
                <w:sz w:val="24"/>
                <w:szCs w:val="24"/>
              </w:rPr>
              <w:t>CP</w:t>
            </w:r>
            <w:r w:rsidR="003102E4">
              <w:rPr>
                <w:i/>
                <w:sz w:val="24"/>
                <w:szCs w:val="24"/>
              </w:rPr>
              <w:t xml:space="preserve"> informed the </w:t>
            </w:r>
            <w:r w:rsidRPr="00B75A68">
              <w:rPr>
                <w:i/>
                <w:sz w:val="24"/>
                <w:szCs w:val="24"/>
              </w:rPr>
              <w:t>data available</w:t>
            </w:r>
            <w:r w:rsidR="0014427A">
              <w:rPr>
                <w:i/>
                <w:sz w:val="24"/>
                <w:szCs w:val="24"/>
              </w:rPr>
              <w:t xml:space="preserve"> previously was not </w:t>
            </w:r>
            <w:r w:rsidRPr="00B75A68">
              <w:rPr>
                <w:i/>
                <w:sz w:val="24"/>
                <w:szCs w:val="24"/>
              </w:rPr>
              <w:t>availabl</w:t>
            </w:r>
            <w:r w:rsidR="0014427A">
              <w:rPr>
                <w:i/>
                <w:sz w:val="24"/>
                <w:szCs w:val="24"/>
              </w:rPr>
              <w:t>e</w:t>
            </w:r>
            <w:r w:rsidR="00904CF9">
              <w:rPr>
                <w:i/>
                <w:sz w:val="24"/>
                <w:szCs w:val="24"/>
              </w:rPr>
              <w:t xml:space="preserve"> for this work</w:t>
            </w:r>
            <w:r w:rsidR="0014427A">
              <w:rPr>
                <w:i/>
                <w:sz w:val="24"/>
                <w:szCs w:val="24"/>
              </w:rPr>
              <w:t xml:space="preserve">, due to </w:t>
            </w:r>
            <w:r w:rsidR="003102E4">
              <w:rPr>
                <w:i/>
                <w:sz w:val="24"/>
                <w:szCs w:val="24"/>
              </w:rPr>
              <w:t>change</w:t>
            </w:r>
            <w:r w:rsidR="0014427A">
              <w:rPr>
                <w:i/>
                <w:sz w:val="24"/>
                <w:szCs w:val="24"/>
              </w:rPr>
              <w:t xml:space="preserve">s </w:t>
            </w:r>
            <w:r w:rsidR="00904CF9">
              <w:rPr>
                <w:i/>
                <w:sz w:val="24"/>
                <w:szCs w:val="24"/>
              </w:rPr>
              <w:t>in</w:t>
            </w:r>
            <w:r w:rsidR="0014427A">
              <w:rPr>
                <w:i/>
                <w:sz w:val="24"/>
                <w:szCs w:val="24"/>
              </w:rPr>
              <w:t xml:space="preserve"> capturing data, changes to</w:t>
            </w:r>
            <w:r w:rsidR="003102E4">
              <w:rPr>
                <w:i/>
                <w:sz w:val="24"/>
                <w:szCs w:val="24"/>
              </w:rPr>
              <w:t xml:space="preserve"> benchmarking and gaps in national data.  </w:t>
            </w:r>
            <w:r w:rsidR="0014427A">
              <w:rPr>
                <w:i/>
                <w:sz w:val="24"/>
                <w:szCs w:val="24"/>
              </w:rPr>
              <w:t>H</w:t>
            </w:r>
            <w:r w:rsidR="003102E4">
              <w:rPr>
                <w:i/>
                <w:sz w:val="24"/>
                <w:szCs w:val="24"/>
              </w:rPr>
              <w:t xml:space="preserve">owever, </w:t>
            </w:r>
            <w:r w:rsidR="0014427A">
              <w:rPr>
                <w:i/>
                <w:sz w:val="24"/>
                <w:szCs w:val="24"/>
              </w:rPr>
              <w:t xml:space="preserve">this work </w:t>
            </w:r>
            <w:r w:rsidR="003102E4">
              <w:rPr>
                <w:i/>
                <w:sz w:val="24"/>
                <w:szCs w:val="24"/>
              </w:rPr>
              <w:t xml:space="preserve">has been supplemented with other </w:t>
            </w:r>
            <w:r w:rsidR="00904CF9">
              <w:rPr>
                <w:i/>
                <w:sz w:val="24"/>
                <w:szCs w:val="24"/>
              </w:rPr>
              <w:t xml:space="preserve">available </w:t>
            </w:r>
            <w:r w:rsidR="003102E4">
              <w:rPr>
                <w:i/>
                <w:sz w:val="24"/>
                <w:szCs w:val="24"/>
              </w:rPr>
              <w:t>piece of data.  Following completion of t</w:t>
            </w:r>
            <w:r w:rsidR="0014427A">
              <w:rPr>
                <w:i/>
                <w:sz w:val="24"/>
                <w:szCs w:val="24"/>
              </w:rPr>
              <w:t xml:space="preserve">he </w:t>
            </w:r>
            <w:r w:rsidR="003102E4">
              <w:rPr>
                <w:i/>
                <w:sz w:val="24"/>
                <w:szCs w:val="24"/>
              </w:rPr>
              <w:t xml:space="preserve">work a lessons learned log will be completed to </w:t>
            </w:r>
            <w:r w:rsidRPr="00B75A68">
              <w:rPr>
                <w:i/>
                <w:sz w:val="24"/>
                <w:szCs w:val="24"/>
              </w:rPr>
              <w:t>WG</w:t>
            </w:r>
            <w:r w:rsidR="003102E4">
              <w:rPr>
                <w:i/>
                <w:sz w:val="24"/>
                <w:szCs w:val="24"/>
              </w:rPr>
              <w:t xml:space="preserve">, which entails a </w:t>
            </w:r>
            <w:r w:rsidRPr="00B75A68">
              <w:rPr>
                <w:i/>
                <w:sz w:val="24"/>
                <w:szCs w:val="24"/>
              </w:rPr>
              <w:t xml:space="preserve">data catalogue </w:t>
            </w:r>
            <w:r w:rsidR="0014427A">
              <w:rPr>
                <w:i/>
                <w:sz w:val="24"/>
                <w:szCs w:val="24"/>
              </w:rPr>
              <w:t>along</w:t>
            </w:r>
            <w:r w:rsidRPr="00B75A68">
              <w:rPr>
                <w:i/>
                <w:sz w:val="24"/>
                <w:szCs w:val="24"/>
              </w:rPr>
              <w:t xml:space="preserve"> with the data assessment</w:t>
            </w:r>
            <w:r w:rsidR="003102E4">
              <w:rPr>
                <w:i/>
                <w:sz w:val="24"/>
                <w:szCs w:val="24"/>
              </w:rPr>
              <w:t xml:space="preserve">.  A </w:t>
            </w:r>
            <w:r w:rsidR="0014427A">
              <w:rPr>
                <w:i/>
                <w:sz w:val="24"/>
                <w:szCs w:val="24"/>
              </w:rPr>
              <w:t xml:space="preserve">local </w:t>
            </w:r>
            <w:r w:rsidR="003102E4">
              <w:rPr>
                <w:i/>
                <w:sz w:val="24"/>
                <w:szCs w:val="24"/>
              </w:rPr>
              <w:t xml:space="preserve">data map has been completed, and a national framework will be required. </w:t>
            </w:r>
          </w:p>
          <w:p w14:paraId="3356BE5B" w14:textId="77777777" w:rsidR="003102E4" w:rsidRDefault="003102E4" w:rsidP="00B676AA">
            <w:pPr>
              <w:pStyle w:val="TableParagraph"/>
              <w:ind w:left="4" w:right="33"/>
              <w:rPr>
                <w:i/>
                <w:sz w:val="24"/>
                <w:szCs w:val="24"/>
              </w:rPr>
            </w:pPr>
          </w:p>
          <w:p w14:paraId="27882087" w14:textId="01DEF768" w:rsidR="00B7583C" w:rsidRDefault="00B75A68" w:rsidP="00B676AA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the PNA </w:t>
            </w:r>
            <w:r w:rsidR="0014427A">
              <w:rPr>
                <w:sz w:val="24"/>
                <w:szCs w:val="24"/>
              </w:rPr>
              <w:t xml:space="preserve">work </w:t>
            </w:r>
            <w:r w:rsidR="00B676AA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completed</w:t>
            </w:r>
            <w:r w:rsidR="00B676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where and who will implement the action plan</w:t>
            </w:r>
            <w:r w:rsidR="00B676AA">
              <w:rPr>
                <w:sz w:val="24"/>
                <w:szCs w:val="24"/>
              </w:rPr>
              <w:t>/outcomes?</w:t>
            </w:r>
          </w:p>
          <w:p w14:paraId="593A52D4" w14:textId="02A17849" w:rsidR="00B676AA" w:rsidRDefault="00B75A68" w:rsidP="00B676AA">
            <w:pPr>
              <w:pStyle w:val="TableParagraph"/>
              <w:ind w:left="4" w:right="33"/>
              <w:rPr>
                <w:i/>
                <w:sz w:val="24"/>
                <w:szCs w:val="24"/>
              </w:rPr>
            </w:pPr>
            <w:r w:rsidRPr="00B75A68">
              <w:rPr>
                <w:i/>
                <w:sz w:val="24"/>
                <w:szCs w:val="24"/>
              </w:rPr>
              <w:t>The PNA action plan will inform the work of the MSR</w:t>
            </w:r>
            <w:r w:rsidR="00B676AA">
              <w:rPr>
                <w:i/>
                <w:sz w:val="24"/>
                <w:szCs w:val="24"/>
              </w:rPr>
              <w:t>, and t</w:t>
            </w:r>
            <w:r w:rsidRPr="00B75A68">
              <w:rPr>
                <w:i/>
                <w:sz w:val="24"/>
                <w:szCs w:val="24"/>
              </w:rPr>
              <w:t>h</w:t>
            </w:r>
            <w:r w:rsidR="00B676AA">
              <w:rPr>
                <w:i/>
                <w:sz w:val="24"/>
                <w:szCs w:val="24"/>
              </w:rPr>
              <w:t>e work on how to address the outcomes will start imminently.</w:t>
            </w:r>
          </w:p>
          <w:p w14:paraId="46CC095F" w14:textId="77777777" w:rsidR="00B7583C" w:rsidRDefault="00B7583C" w:rsidP="00B676AA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42D08623" w14:textId="0790369B" w:rsidR="00B75A68" w:rsidRDefault="00B75A68" w:rsidP="00B676AA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into account this significant piece of work, is it possible to see what has changed in the last 5 years, what key areas have improved/ not improved in terms of partnership working</w:t>
            </w:r>
            <w:r w:rsidR="00B676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 inform </w:t>
            </w:r>
            <w:r w:rsidR="00B473D5">
              <w:rPr>
                <w:sz w:val="24"/>
                <w:szCs w:val="24"/>
              </w:rPr>
              <w:t>future</w:t>
            </w:r>
            <w:r>
              <w:rPr>
                <w:sz w:val="24"/>
                <w:szCs w:val="24"/>
              </w:rPr>
              <w:t xml:space="preserve"> changes</w:t>
            </w:r>
            <w:r w:rsidR="005F27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716219A9" w14:textId="1976D3E6" w:rsidR="00B473D5" w:rsidRPr="00B473D5" w:rsidRDefault="00B473D5" w:rsidP="00B676AA">
            <w:pPr>
              <w:pStyle w:val="TableParagraph"/>
              <w:ind w:left="4" w:right="33"/>
              <w:rPr>
                <w:i/>
                <w:sz w:val="24"/>
                <w:szCs w:val="24"/>
              </w:rPr>
            </w:pPr>
            <w:r w:rsidRPr="00B473D5">
              <w:rPr>
                <w:i/>
                <w:sz w:val="24"/>
                <w:szCs w:val="24"/>
              </w:rPr>
              <w:t xml:space="preserve">A what’s changed analysis will be completed, what this </w:t>
            </w:r>
            <w:r w:rsidR="00995F3A">
              <w:rPr>
                <w:i/>
                <w:sz w:val="24"/>
                <w:szCs w:val="24"/>
              </w:rPr>
              <w:t>denotes for</w:t>
            </w:r>
            <w:r w:rsidRPr="00B473D5">
              <w:rPr>
                <w:i/>
                <w:sz w:val="24"/>
                <w:szCs w:val="24"/>
              </w:rPr>
              <w:t xml:space="preserve"> services</w:t>
            </w:r>
            <w:r w:rsidR="00B676AA">
              <w:rPr>
                <w:i/>
                <w:sz w:val="24"/>
                <w:szCs w:val="24"/>
              </w:rPr>
              <w:t>,</w:t>
            </w:r>
            <w:r w:rsidRPr="00B473D5">
              <w:rPr>
                <w:i/>
                <w:sz w:val="24"/>
                <w:szCs w:val="24"/>
              </w:rPr>
              <w:t xml:space="preserve"> and will be reflected in </w:t>
            </w:r>
            <w:r w:rsidR="00B676AA">
              <w:rPr>
                <w:i/>
                <w:sz w:val="24"/>
                <w:szCs w:val="24"/>
              </w:rPr>
              <w:t>the</w:t>
            </w:r>
            <w:r w:rsidRPr="00B473D5">
              <w:rPr>
                <w:i/>
                <w:sz w:val="24"/>
                <w:szCs w:val="24"/>
              </w:rPr>
              <w:t xml:space="preserve"> MSR and </w:t>
            </w:r>
            <w:r w:rsidR="00B676AA">
              <w:rPr>
                <w:i/>
                <w:sz w:val="24"/>
                <w:szCs w:val="24"/>
              </w:rPr>
              <w:t xml:space="preserve">other </w:t>
            </w:r>
            <w:r w:rsidRPr="00B473D5">
              <w:rPr>
                <w:i/>
                <w:sz w:val="24"/>
                <w:szCs w:val="24"/>
              </w:rPr>
              <w:t xml:space="preserve">conversations involving locality planning, and the regions </w:t>
            </w:r>
            <w:r w:rsidR="00995F3A">
              <w:rPr>
                <w:i/>
                <w:sz w:val="24"/>
                <w:szCs w:val="24"/>
              </w:rPr>
              <w:t>w</w:t>
            </w:r>
            <w:r w:rsidRPr="00B473D5">
              <w:rPr>
                <w:i/>
                <w:sz w:val="24"/>
                <w:szCs w:val="24"/>
              </w:rPr>
              <w:t>ell-being assessment</w:t>
            </w:r>
            <w:r w:rsidR="00B676AA">
              <w:rPr>
                <w:i/>
                <w:sz w:val="24"/>
                <w:szCs w:val="24"/>
              </w:rPr>
              <w:t>.</w:t>
            </w:r>
          </w:p>
          <w:p w14:paraId="3FDFBE4B" w14:textId="77777777" w:rsidR="00B473D5" w:rsidRDefault="00B473D5" w:rsidP="009E1094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57AC3236" w14:textId="5BB01A74" w:rsidR="00B473D5" w:rsidRDefault="00885290" w:rsidP="00885290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size of the document is significant, are the </w:t>
            </w:r>
            <w:r w:rsidR="00B473D5">
              <w:rPr>
                <w:sz w:val="24"/>
                <w:szCs w:val="24"/>
              </w:rPr>
              <w:t xml:space="preserve">RCB proposing any ways of making the document </w:t>
            </w:r>
            <w:r w:rsidR="005F275E">
              <w:rPr>
                <w:sz w:val="24"/>
                <w:szCs w:val="24"/>
              </w:rPr>
              <w:t>decipherable</w:t>
            </w:r>
            <w:r w:rsidR="00B473D5">
              <w:rPr>
                <w:sz w:val="24"/>
                <w:szCs w:val="24"/>
              </w:rPr>
              <w:t xml:space="preserve"> and meaningful in terms of planning and moving forward.</w:t>
            </w:r>
          </w:p>
          <w:p w14:paraId="2ECC889C" w14:textId="4CE3ACAB" w:rsidR="00B473D5" w:rsidRPr="00B473D5" w:rsidRDefault="00B473D5" w:rsidP="00885290">
            <w:pPr>
              <w:pStyle w:val="TableParagraph"/>
              <w:ind w:left="4" w:right="33"/>
              <w:rPr>
                <w:i/>
                <w:sz w:val="24"/>
                <w:szCs w:val="24"/>
              </w:rPr>
            </w:pPr>
            <w:r w:rsidRPr="00B473D5">
              <w:rPr>
                <w:i/>
                <w:sz w:val="24"/>
                <w:szCs w:val="24"/>
              </w:rPr>
              <w:t>It was advised that an executive su</w:t>
            </w:r>
            <w:r w:rsidR="00885290">
              <w:rPr>
                <w:i/>
                <w:sz w:val="24"/>
                <w:szCs w:val="24"/>
              </w:rPr>
              <w:t xml:space="preserve">mmary and an easy read version </w:t>
            </w:r>
            <w:r w:rsidRPr="00B473D5">
              <w:rPr>
                <w:i/>
                <w:sz w:val="24"/>
                <w:szCs w:val="24"/>
              </w:rPr>
              <w:t>of the PNA will be available on the website</w:t>
            </w:r>
            <w:r w:rsidR="00885290">
              <w:rPr>
                <w:i/>
                <w:sz w:val="24"/>
                <w:szCs w:val="24"/>
              </w:rPr>
              <w:t xml:space="preserve"> in due course.</w:t>
            </w:r>
          </w:p>
          <w:p w14:paraId="37AEFC90" w14:textId="77777777" w:rsidR="00CB3C59" w:rsidRDefault="00CB3C59" w:rsidP="00904CF9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00D52B64" w14:textId="348C502F" w:rsidR="00CB3C59" w:rsidRDefault="00904CF9" w:rsidP="00904CF9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3102E4">
              <w:rPr>
                <w:sz w:val="24"/>
                <w:szCs w:val="24"/>
              </w:rPr>
              <w:t>a</w:t>
            </w:r>
            <w:r w:rsidR="003102E4" w:rsidRPr="003102E4">
              <w:rPr>
                <w:sz w:val="24"/>
                <w:szCs w:val="24"/>
              </w:rPr>
              <w:t>ccommodation needs of the population, which supports health and social care seem</w:t>
            </w:r>
            <w:r>
              <w:rPr>
                <w:sz w:val="24"/>
                <w:szCs w:val="24"/>
              </w:rPr>
              <w:t>ed</w:t>
            </w:r>
            <w:r w:rsidR="003102E4" w:rsidRPr="003102E4">
              <w:rPr>
                <w:sz w:val="24"/>
                <w:szCs w:val="24"/>
              </w:rPr>
              <w:t xml:space="preserve"> to be light within the draft document.</w:t>
            </w:r>
          </w:p>
          <w:p w14:paraId="7004E28D" w14:textId="067436A2" w:rsidR="003102E4" w:rsidRDefault="003102E4" w:rsidP="00904CF9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541B3E3B" w14:textId="6D25FCF1" w:rsidR="003102E4" w:rsidRDefault="00995F3A" w:rsidP="00D70CAF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c</w:t>
            </w:r>
            <w:r w:rsidR="00904CF9">
              <w:rPr>
                <w:sz w:val="24"/>
                <w:szCs w:val="24"/>
              </w:rPr>
              <w:t>oncerning to note the small number of responses from residents and various partners w</w:t>
            </w:r>
            <w:r w:rsidR="003102E4">
              <w:rPr>
                <w:sz w:val="24"/>
                <w:szCs w:val="24"/>
              </w:rPr>
              <w:t>ithin North Wales</w:t>
            </w:r>
            <w:r w:rsidR="00904CF9">
              <w:rPr>
                <w:sz w:val="24"/>
                <w:szCs w:val="24"/>
              </w:rPr>
              <w:t>.</w:t>
            </w:r>
          </w:p>
          <w:p w14:paraId="7AC40858" w14:textId="556FC9AA" w:rsidR="00D70CAF" w:rsidRDefault="001279BA" w:rsidP="00D70CAF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1279BA">
              <w:rPr>
                <w:i/>
                <w:sz w:val="24"/>
                <w:szCs w:val="24"/>
              </w:rPr>
              <w:t xml:space="preserve">CP informed the CoP and guidance inform the requirements within the PNA.  </w:t>
            </w:r>
            <w:r>
              <w:rPr>
                <w:i/>
                <w:sz w:val="24"/>
                <w:szCs w:val="24"/>
              </w:rPr>
              <w:t>Extensive consultation has been undertaken, and a</w:t>
            </w:r>
            <w:r w:rsidRPr="001279BA">
              <w:rPr>
                <w:i/>
                <w:sz w:val="24"/>
                <w:szCs w:val="24"/>
              </w:rPr>
              <w:t>lthough timescale and capacity are somewhat impeding</w:t>
            </w:r>
            <w:r w:rsidR="00995F3A">
              <w:rPr>
                <w:i/>
                <w:sz w:val="24"/>
                <w:szCs w:val="24"/>
              </w:rPr>
              <w:t xml:space="preserve"> the work</w:t>
            </w:r>
            <w:r w:rsidRPr="001279BA">
              <w:rPr>
                <w:i/>
                <w:sz w:val="24"/>
                <w:szCs w:val="24"/>
              </w:rPr>
              <w:t>, the upmost will be done to ensure the work is completed as broadly as possible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1279BA">
              <w:rPr>
                <w:i/>
                <w:sz w:val="24"/>
                <w:szCs w:val="24"/>
              </w:rPr>
              <w:t xml:space="preserve">The Well-being assessment work is ongoing and </w:t>
            </w:r>
            <w:r>
              <w:rPr>
                <w:i/>
                <w:sz w:val="24"/>
                <w:szCs w:val="24"/>
              </w:rPr>
              <w:t xml:space="preserve">will </w:t>
            </w:r>
            <w:r w:rsidRPr="001279BA">
              <w:rPr>
                <w:i/>
                <w:sz w:val="24"/>
                <w:szCs w:val="24"/>
              </w:rPr>
              <w:t>also informs this work.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5B944EE" w14:textId="77777777" w:rsidR="001279BA" w:rsidRDefault="001279BA" w:rsidP="00D70CAF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6B060E58" w14:textId="32941EC5" w:rsidR="00912608" w:rsidRDefault="00F16D2C" w:rsidP="00995F3A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 noted on the process itself</w:t>
            </w:r>
            <w:r w:rsidR="00995F3A">
              <w:rPr>
                <w:sz w:val="24"/>
                <w:szCs w:val="24"/>
              </w:rPr>
              <w:t>, the consultation process</w:t>
            </w:r>
            <w:r>
              <w:rPr>
                <w:sz w:val="24"/>
                <w:szCs w:val="24"/>
              </w:rPr>
              <w:t xml:space="preserve"> and the value to the region</w:t>
            </w:r>
            <w:r w:rsidR="00995F3A">
              <w:rPr>
                <w:sz w:val="24"/>
                <w:szCs w:val="24"/>
              </w:rPr>
              <w:t xml:space="preserve">.  Is </w:t>
            </w:r>
            <w:r w:rsidR="00912608">
              <w:rPr>
                <w:sz w:val="24"/>
                <w:szCs w:val="24"/>
              </w:rPr>
              <w:t xml:space="preserve">there a </w:t>
            </w:r>
            <w:r w:rsidR="00995F3A" w:rsidRPr="00995F3A">
              <w:rPr>
                <w:sz w:val="24"/>
                <w:szCs w:val="24"/>
              </w:rPr>
              <w:t>need to re-visit the guidance</w:t>
            </w:r>
            <w:r w:rsidR="00995F3A">
              <w:rPr>
                <w:sz w:val="24"/>
                <w:szCs w:val="24"/>
              </w:rPr>
              <w:t>, and WG expectation,</w:t>
            </w:r>
            <w:r w:rsidR="00995F3A" w:rsidRPr="00995F3A">
              <w:rPr>
                <w:sz w:val="24"/>
                <w:szCs w:val="24"/>
              </w:rPr>
              <w:t xml:space="preserve"> in relation </w:t>
            </w:r>
            <w:r w:rsidR="00995F3A">
              <w:rPr>
                <w:sz w:val="24"/>
                <w:szCs w:val="24"/>
              </w:rPr>
              <w:t xml:space="preserve">to </w:t>
            </w:r>
            <w:r w:rsidR="00995F3A" w:rsidRPr="00995F3A">
              <w:rPr>
                <w:sz w:val="24"/>
                <w:szCs w:val="24"/>
              </w:rPr>
              <w:t xml:space="preserve">the significant amount of work </w:t>
            </w:r>
            <w:r w:rsidR="00995F3A">
              <w:rPr>
                <w:sz w:val="24"/>
                <w:szCs w:val="24"/>
              </w:rPr>
              <w:t>with North Wales being the biggest region in Wales.</w:t>
            </w:r>
          </w:p>
          <w:p w14:paraId="4E6A28CE" w14:textId="7B0931C7" w:rsidR="00CC412D" w:rsidRPr="00995F3A" w:rsidRDefault="00FA7344" w:rsidP="00912608">
            <w:pPr>
              <w:pStyle w:val="TableParagraph"/>
              <w:ind w:left="4" w:right="33"/>
              <w:rPr>
                <w:i/>
                <w:sz w:val="24"/>
                <w:szCs w:val="24"/>
              </w:rPr>
            </w:pPr>
            <w:r w:rsidRPr="00995F3A">
              <w:rPr>
                <w:i/>
                <w:sz w:val="24"/>
                <w:szCs w:val="24"/>
              </w:rPr>
              <w:t xml:space="preserve">The work on the PNA began </w:t>
            </w:r>
            <w:r w:rsidR="00F16D2C" w:rsidRPr="00995F3A">
              <w:rPr>
                <w:i/>
                <w:sz w:val="24"/>
                <w:szCs w:val="24"/>
              </w:rPr>
              <w:t>during the mid</w:t>
            </w:r>
            <w:r w:rsidRPr="00995F3A">
              <w:rPr>
                <w:i/>
                <w:sz w:val="24"/>
                <w:szCs w:val="24"/>
              </w:rPr>
              <w:t>st</w:t>
            </w:r>
            <w:r w:rsidR="00F16D2C" w:rsidRPr="00995F3A">
              <w:rPr>
                <w:i/>
                <w:sz w:val="24"/>
                <w:szCs w:val="24"/>
              </w:rPr>
              <w:t xml:space="preserve"> of the pandemic, </w:t>
            </w:r>
            <w:r w:rsidRPr="00995F3A">
              <w:rPr>
                <w:i/>
                <w:sz w:val="24"/>
                <w:szCs w:val="24"/>
              </w:rPr>
              <w:t>during this time some of the</w:t>
            </w:r>
            <w:r w:rsidR="00F16D2C" w:rsidRPr="00995F3A">
              <w:rPr>
                <w:i/>
                <w:sz w:val="24"/>
                <w:szCs w:val="24"/>
              </w:rPr>
              <w:t xml:space="preserve"> </w:t>
            </w:r>
            <w:r w:rsidRPr="00995F3A">
              <w:rPr>
                <w:i/>
                <w:sz w:val="24"/>
                <w:szCs w:val="24"/>
              </w:rPr>
              <w:t xml:space="preserve">appropriate </w:t>
            </w:r>
            <w:r w:rsidR="00F16D2C" w:rsidRPr="00995F3A">
              <w:rPr>
                <w:i/>
                <w:sz w:val="24"/>
                <w:szCs w:val="24"/>
              </w:rPr>
              <w:t xml:space="preserve">colleagues to engage with were </w:t>
            </w:r>
            <w:r w:rsidRPr="00995F3A">
              <w:rPr>
                <w:i/>
                <w:sz w:val="24"/>
                <w:szCs w:val="24"/>
              </w:rPr>
              <w:t xml:space="preserve">involved </w:t>
            </w:r>
            <w:r w:rsidR="00F16D2C" w:rsidRPr="00995F3A">
              <w:rPr>
                <w:i/>
                <w:sz w:val="24"/>
                <w:szCs w:val="24"/>
              </w:rPr>
              <w:t xml:space="preserve">with the important </w:t>
            </w:r>
            <w:r w:rsidRPr="00995F3A">
              <w:rPr>
                <w:i/>
                <w:sz w:val="24"/>
                <w:szCs w:val="24"/>
              </w:rPr>
              <w:t xml:space="preserve">Covid </w:t>
            </w:r>
            <w:r w:rsidR="00F16D2C" w:rsidRPr="00995F3A">
              <w:rPr>
                <w:i/>
                <w:sz w:val="24"/>
                <w:szCs w:val="24"/>
              </w:rPr>
              <w:t>work</w:t>
            </w:r>
            <w:r w:rsidR="00995F3A" w:rsidRPr="00995F3A">
              <w:rPr>
                <w:i/>
                <w:sz w:val="24"/>
                <w:szCs w:val="24"/>
              </w:rPr>
              <w:t xml:space="preserve"> engaging</w:t>
            </w:r>
            <w:r w:rsidR="00F16D2C" w:rsidRPr="00995F3A">
              <w:rPr>
                <w:i/>
                <w:sz w:val="24"/>
                <w:szCs w:val="24"/>
              </w:rPr>
              <w:t xml:space="preserve"> with Providers/</w:t>
            </w:r>
            <w:r w:rsidRPr="00995F3A">
              <w:rPr>
                <w:i/>
                <w:sz w:val="24"/>
                <w:szCs w:val="24"/>
              </w:rPr>
              <w:t>C</w:t>
            </w:r>
            <w:r w:rsidR="00F16D2C" w:rsidRPr="00995F3A">
              <w:rPr>
                <w:i/>
                <w:sz w:val="24"/>
                <w:szCs w:val="24"/>
              </w:rPr>
              <w:t>are Homes and PHW</w:t>
            </w:r>
            <w:r w:rsidRPr="00995F3A">
              <w:rPr>
                <w:i/>
                <w:sz w:val="24"/>
                <w:szCs w:val="24"/>
              </w:rPr>
              <w:t>.  T</w:t>
            </w:r>
            <w:r w:rsidR="00F16D2C" w:rsidRPr="00995F3A">
              <w:rPr>
                <w:i/>
                <w:sz w:val="24"/>
                <w:szCs w:val="24"/>
              </w:rPr>
              <w:t xml:space="preserve">he team are to </w:t>
            </w:r>
            <w:r w:rsidRPr="00995F3A">
              <w:rPr>
                <w:i/>
                <w:sz w:val="24"/>
                <w:szCs w:val="24"/>
              </w:rPr>
              <w:t xml:space="preserve">be congratulated for producing </w:t>
            </w:r>
            <w:r w:rsidR="00F16D2C" w:rsidRPr="00995F3A">
              <w:rPr>
                <w:i/>
                <w:sz w:val="24"/>
                <w:szCs w:val="24"/>
              </w:rPr>
              <w:t xml:space="preserve">a significant document for the region.  </w:t>
            </w:r>
            <w:r w:rsidRPr="00995F3A">
              <w:rPr>
                <w:i/>
                <w:sz w:val="24"/>
                <w:szCs w:val="24"/>
              </w:rPr>
              <w:t xml:space="preserve">Whist being aware the requirement to </w:t>
            </w:r>
            <w:r w:rsidR="00CC412D" w:rsidRPr="00995F3A">
              <w:rPr>
                <w:i/>
                <w:sz w:val="24"/>
                <w:szCs w:val="24"/>
              </w:rPr>
              <w:t xml:space="preserve">create a valuable </w:t>
            </w:r>
            <w:r w:rsidRPr="00995F3A">
              <w:rPr>
                <w:i/>
                <w:sz w:val="24"/>
                <w:szCs w:val="24"/>
              </w:rPr>
              <w:t>document</w:t>
            </w:r>
            <w:r w:rsidR="00F16D2C" w:rsidRPr="00995F3A">
              <w:rPr>
                <w:i/>
                <w:sz w:val="24"/>
                <w:szCs w:val="24"/>
              </w:rPr>
              <w:t xml:space="preserve">, </w:t>
            </w:r>
            <w:r w:rsidR="00912608" w:rsidRPr="00995F3A">
              <w:rPr>
                <w:i/>
                <w:sz w:val="24"/>
                <w:szCs w:val="24"/>
              </w:rPr>
              <w:t>an</w:t>
            </w:r>
            <w:r w:rsidR="00F16D2C" w:rsidRPr="00995F3A">
              <w:rPr>
                <w:i/>
                <w:sz w:val="24"/>
                <w:szCs w:val="24"/>
              </w:rPr>
              <w:t xml:space="preserve"> important </w:t>
            </w:r>
            <w:r w:rsidR="00CC412D" w:rsidRPr="00995F3A">
              <w:rPr>
                <w:i/>
                <w:sz w:val="24"/>
                <w:szCs w:val="24"/>
              </w:rPr>
              <w:t>part will involve breaking</w:t>
            </w:r>
          </w:p>
          <w:p w14:paraId="03E26AD6" w14:textId="4259252A" w:rsidR="00F16D2C" w:rsidRDefault="00CC412D" w:rsidP="00912608">
            <w:pPr>
              <w:pStyle w:val="TableParagraph"/>
              <w:ind w:left="4" w:right="33"/>
              <w:rPr>
                <w:i/>
                <w:sz w:val="24"/>
                <w:szCs w:val="24"/>
              </w:rPr>
            </w:pPr>
            <w:r w:rsidRPr="00995F3A">
              <w:rPr>
                <w:i/>
                <w:sz w:val="24"/>
                <w:szCs w:val="24"/>
              </w:rPr>
              <w:t>the</w:t>
            </w:r>
            <w:r w:rsidR="00F16D2C" w:rsidRPr="00995F3A">
              <w:rPr>
                <w:i/>
                <w:sz w:val="24"/>
                <w:szCs w:val="24"/>
              </w:rPr>
              <w:t xml:space="preserve"> information down to meaningful</w:t>
            </w:r>
            <w:r w:rsidRPr="00995F3A">
              <w:rPr>
                <w:i/>
                <w:sz w:val="24"/>
                <w:szCs w:val="24"/>
              </w:rPr>
              <w:t xml:space="preserve"> local action plans </w:t>
            </w:r>
            <w:r w:rsidR="00912608" w:rsidRPr="00995F3A">
              <w:rPr>
                <w:i/>
                <w:sz w:val="24"/>
                <w:szCs w:val="24"/>
              </w:rPr>
              <w:t>to</w:t>
            </w:r>
            <w:r w:rsidRPr="00995F3A">
              <w:rPr>
                <w:i/>
                <w:sz w:val="24"/>
                <w:szCs w:val="24"/>
              </w:rPr>
              <w:t xml:space="preserve"> assist </w:t>
            </w:r>
            <w:r w:rsidR="00995F3A" w:rsidRPr="00995F3A">
              <w:rPr>
                <w:i/>
                <w:sz w:val="24"/>
                <w:szCs w:val="24"/>
              </w:rPr>
              <w:t>with</w:t>
            </w:r>
            <w:r w:rsidRPr="00995F3A">
              <w:rPr>
                <w:i/>
                <w:sz w:val="24"/>
                <w:szCs w:val="24"/>
              </w:rPr>
              <w:t xml:space="preserve"> the requirements of future markets.  </w:t>
            </w:r>
            <w:r w:rsidR="00F16D2C" w:rsidRPr="00995F3A">
              <w:rPr>
                <w:i/>
                <w:sz w:val="24"/>
                <w:szCs w:val="24"/>
              </w:rPr>
              <w:t>Lessons learned will also be forwarded to WG</w:t>
            </w:r>
            <w:r w:rsidRPr="00995F3A">
              <w:rPr>
                <w:i/>
                <w:sz w:val="24"/>
                <w:szCs w:val="24"/>
              </w:rPr>
              <w:t>.</w:t>
            </w:r>
          </w:p>
          <w:p w14:paraId="70F39E43" w14:textId="4D0B60A8" w:rsidR="009764CF" w:rsidRDefault="009764CF" w:rsidP="00912608">
            <w:pPr>
              <w:pStyle w:val="TableParagraph"/>
              <w:ind w:left="4" w:right="33"/>
              <w:rPr>
                <w:i/>
                <w:sz w:val="24"/>
                <w:szCs w:val="24"/>
              </w:rPr>
            </w:pPr>
          </w:p>
          <w:p w14:paraId="4887F1A9" w14:textId="788B4A2A" w:rsidR="009764CF" w:rsidRPr="00995F3A" w:rsidRDefault="009764CF" w:rsidP="00912608">
            <w:pPr>
              <w:pStyle w:val="TableParagraph"/>
              <w:ind w:left="4" w:right="33"/>
              <w:rPr>
                <w:i/>
                <w:sz w:val="24"/>
                <w:szCs w:val="24"/>
              </w:rPr>
            </w:pPr>
            <w:r w:rsidRPr="009764CF">
              <w:rPr>
                <w:i/>
                <w:sz w:val="24"/>
                <w:szCs w:val="24"/>
              </w:rPr>
              <w:t xml:space="preserve">CP informed the </w:t>
            </w:r>
            <w:r w:rsidR="005F2102" w:rsidRPr="009764CF">
              <w:rPr>
                <w:i/>
                <w:sz w:val="24"/>
                <w:szCs w:val="24"/>
              </w:rPr>
              <w:t>RCB -</w:t>
            </w:r>
            <w:r w:rsidRPr="009764CF">
              <w:rPr>
                <w:i/>
                <w:sz w:val="24"/>
                <w:szCs w:val="24"/>
              </w:rPr>
              <w:t xml:space="preserve"> PNA Steering group have agreed to continue meeting as a standing group to oversee the work of the PNA Action Plan.</w:t>
            </w:r>
          </w:p>
          <w:p w14:paraId="377452DA" w14:textId="77777777" w:rsidR="007F00CD" w:rsidRDefault="007F00CD" w:rsidP="009E1094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433FCF19" w14:textId="5426F3CF" w:rsidR="00CC412D" w:rsidRDefault="00CC412D" w:rsidP="00CC412D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CC412D">
              <w:rPr>
                <w:sz w:val="24"/>
                <w:szCs w:val="24"/>
              </w:rPr>
              <w:t xml:space="preserve">The PNA is intended as a live informative document, where information can be added to and taken out, and will assist with future planning processes. </w:t>
            </w:r>
            <w:r>
              <w:rPr>
                <w:sz w:val="24"/>
                <w:szCs w:val="24"/>
              </w:rPr>
              <w:t xml:space="preserve">  NWRPB members are asked to forward any further comments by Friday 21.1.2022.</w:t>
            </w:r>
          </w:p>
          <w:p w14:paraId="6779095B" w14:textId="20F0E94A" w:rsidR="00DA5E89" w:rsidRDefault="00CC412D" w:rsidP="00912608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CC412D">
              <w:rPr>
                <w:sz w:val="24"/>
                <w:szCs w:val="24"/>
              </w:rPr>
              <w:t xml:space="preserve"> </w:t>
            </w:r>
          </w:p>
          <w:p w14:paraId="341268ED" w14:textId="77777777" w:rsidR="009764CF" w:rsidRDefault="00CC412D" w:rsidP="00912608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CC412D">
              <w:rPr>
                <w:sz w:val="24"/>
                <w:szCs w:val="24"/>
              </w:rPr>
              <w:t>NWRPB members acknowledge the significant work completed on the PNA.</w:t>
            </w:r>
            <w:r>
              <w:rPr>
                <w:sz w:val="24"/>
                <w:szCs w:val="24"/>
              </w:rPr>
              <w:t xml:space="preserve">  </w:t>
            </w:r>
          </w:p>
          <w:p w14:paraId="37D27C22" w14:textId="77777777" w:rsidR="009764CF" w:rsidRDefault="009764CF" w:rsidP="00912608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0BE6516A" w14:textId="41501215" w:rsidR="009A74A7" w:rsidRDefault="00CC412D" w:rsidP="00912608">
            <w:pPr>
              <w:pStyle w:val="TableParagraph"/>
              <w:ind w:left="4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A74A7">
              <w:rPr>
                <w:sz w:val="24"/>
                <w:szCs w:val="24"/>
              </w:rPr>
              <w:t>he NWRPB were in agreement to formally agree the PNA report</w:t>
            </w:r>
            <w:r>
              <w:rPr>
                <w:sz w:val="24"/>
                <w:szCs w:val="24"/>
              </w:rPr>
              <w:t xml:space="preserve">.  The PNA report will be </w:t>
            </w:r>
            <w:r w:rsidR="009A74A7">
              <w:rPr>
                <w:sz w:val="24"/>
                <w:szCs w:val="24"/>
              </w:rPr>
              <w:t>forwarded to statutory partners, subject to any further comments submitted by 21.1.2022.</w:t>
            </w:r>
          </w:p>
          <w:p w14:paraId="78217E21" w14:textId="30699F54" w:rsidR="00BF0518" w:rsidRPr="00174607" w:rsidRDefault="00BF0518" w:rsidP="009A74A7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F09E44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C5E" w:rsidRPr="004B2D23" w14:paraId="59C2DA49" w14:textId="77777777" w:rsidTr="001B372F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50381A0C" w14:textId="3B34CE4D" w:rsidR="00995C5E" w:rsidRPr="004B2D23" w:rsidRDefault="00FF659B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987" w:type="dxa"/>
            <w:tcBorders>
              <w:bottom w:val="single" w:sz="4" w:space="0" w:color="auto"/>
            </w:tcBorders>
            <w:shd w:val="clear" w:color="auto" w:fill="auto"/>
          </w:tcPr>
          <w:p w14:paraId="6988B36A" w14:textId="77777777" w:rsidR="00230F06" w:rsidRPr="00FF659B" w:rsidRDefault="002C1E08" w:rsidP="00DE3954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FF659B">
              <w:rPr>
                <w:sz w:val="24"/>
                <w:szCs w:val="24"/>
                <w:u w:val="single"/>
              </w:rPr>
              <w:t>BCUHB</w:t>
            </w:r>
          </w:p>
          <w:p w14:paraId="7F86F78B" w14:textId="77777777" w:rsidR="00F234B2" w:rsidRDefault="002C1E08" w:rsidP="00DE395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Vaccination</w:t>
            </w:r>
            <w:r w:rsidR="00356D7B">
              <w:rPr>
                <w:sz w:val="24"/>
                <w:szCs w:val="24"/>
              </w:rPr>
              <w:t xml:space="preserve"> update</w:t>
            </w:r>
          </w:p>
          <w:p w14:paraId="627FA4B4" w14:textId="7CCF35CE" w:rsidR="00356D7B" w:rsidRDefault="00356D7B" w:rsidP="00DE395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FJ acknowledge the significant co-operation </w:t>
            </w:r>
            <w:r w:rsidR="00751A4A">
              <w:rPr>
                <w:sz w:val="24"/>
                <w:szCs w:val="24"/>
              </w:rPr>
              <w:t xml:space="preserve">from </w:t>
            </w:r>
            <w:r w:rsidR="00751A4A" w:rsidRPr="00751A4A">
              <w:rPr>
                <w:sz w:val="24"/>
                <w:szCs w:val="24"/>
              </w:rPr>
              <w:t xml:space="preserve">all partners </w:t>
            </w:r>
            <w:r>
              <w:rPr>
                <w:sz w:val="24"/>
                <w:szCs w:val="24"/>
              </w:rPr>
              <w:t xml:space="preserve">to undertake the BCUHB immunization programme. The region </w:t>
            </w:r>
            <w:r w:rsidR="005F2102">
              <w:rPr>
                <w:sz w:val="24"/>
                <w:szCs w:val="24"/>
              </w:rPr>
              <w:t>has</w:t>
            </w:r>
            <w:r w:rsidR="00751A4A">
              <w:rPr>
                <w:sz w:val="24"/>
                <w:szCs w:val="24"/>
              </w:rPr>
              <w:t>, to date,</w:t>
            </w:r>
            <w:r>
              <w:rPr>
                <w:sz w:val="24"/>
                <w:szCs w:val="24"/>
              </w:rPr>
              <w:t xml:space="preserve"> vaccinated 79% of the North Wales population, with vaccine demand peaking throughout the Xmas period.</w:t>
            </w:r>
          </w:p>
          <w:p w14:paraId="62AE0ABB" w14:textId="11575660" w:rsidR="00356D7B" w:rsidRDefault="00356D7B" w:rsidP="00DE395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Certain groups remain outstanding:</w:t>
            </w:r>
          </w:p>
          <w:p w14:paraId="5E994BA8" w14:textId="703BAEC3" w:rsidR="00356D7B" w:rsidRDefault="00751A4A" w:rsidP="00751A4A">
            <w:pPr>
              <w:pStyle w:val="TableParagraph"/>
              <w:numPr>
                <w:ilvl w:val="0"/>
                <w:numId w:val="33"/>
              </w:numPr>
              <w:ind w:left="316" w:right="3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Individuals with</w:t>
            </w:r>
            <w:r w:rsidR="00356D7B">
              <w:rPr>
                <w:sz w:val="24"/>
                <w:szCs w:val="24"/>
              </w:rPr>
              <w:t xml:space="preserve"> Covid, or recently recovered from Covid</w:t>
            </w:r>
          </w:p>
          <w:p w14:paraId="280B040C" w14:textId="2D859F90" w:rsidR="00356D7B" w:rsidRDefault="00356D7B" w:rsidP="00751A4A">
            <w:pPr>
              <w:pStyle w:val="TableParagraph"/>
              <w:numPr>
                <w:ilvl w:val="0"/>
                <w:numId w:val="33"/>
              </w:numPr>
              <w:ind w:left="316" w:right="3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Homebound individuals –</w:t>
            </w:r>
            <w:r w:rsidR="00F234B2">
              <w:rPr>
                <w:sz w:val="24"/>
                <w:szCs w:val="24"/>
              </w:rPr>
              <w:t xml:space="preserve"> over 90% of homebound individuals have </w:t>
            </w:r>
            <w:r w:rsidR="00F234B2">
              <w:rPr>
                <w:sz w:val="24"/>
                <w:szCs w:val="24"/>
              </w:rPr>
              <w:lastRenderedPageBreak/>
              <w:t>now been vaccinated, challenges remai</w:t>
            </w:r>
            <w:r w:rsidR="00751A4A">
              <w:rPr>
                <w:sz w:val="24"/>
                <w:szCs w:val="24"/>
              </w:rPr>
              <w:t>n with the tight conditions within the s</w:t>
            </w:r>
            <w:r w:rsidR="00F234B2">
              <w:rPr>
                <w:sz w:val="24"/>
                <w:szCs w:val="24"/>
              </w:rPr>
              <w:t>tor</w:t>
            </w:r>
            <w:r w:rsidR="00751A4A">
              <w:rPr>
                <w:sz w:val="24"/>
                <w:szCs w:val="24"/>
              </w:rPr>
              <w:t>age of the</w:t>
            </w:r>
            <w:r w:rsidR="00F234B2">
              <w:rPr>
                <w:sz w:val="24"/>
                <w:szCs w:val="24"/>
              </w:rPr>
              <w:t xml:space="preserve"> Pfizer and Modena vaccines.   </w:t>
            </w:r>
          </w:p>
          <w:p w14:paraId="2F99498D" w14:textId="77777777" w:rsidR="002C1E08" w:rsidRDefault="002C1E08" w:rsidP="00DE395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3BD487C9" w14:textId="02941C3C" w:rsidR="006B08EC" w:rsidRDefault="002C1E08" w:rsidP="00DE3954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F234B2">
              <w:rPr>
                <w:sz w:val="24"/>
                <w:szCs w:val="24"/>
              </w:rPr>
              <w:t xml:space="preserve">reported although seeing an increase in test, trace and protect numbers, there has </w:t>
            </w:r>
            <w:r w:rsidR="00751A4A">
              <w:rPr>
                <w:sz w:val="24"/>
                <w:szCs w:val="24"/>
              </w:rPr>
              <w:t>been a reduction in the Covid numbers</w:t>
            </w:r>
            <w:r w:rsidR="00F234B2">
              <w:rPr>
                <w:sz w:val="24"/>
                <w:szCs w:val="24"/>
              </w:rPr>
              <w:t xml:space="preserve">.  </w:t>
            </w:r>
            <w:r w:rsidR="00751A4A">
              <w:rPr>
                <w:sz w:val="24"/>
                <w:szCs w:val="24"/>
              </w:rPr>
              <w:t>It is however, di</w:t>
            </w:r>
            <w:r w:rsidR="00F234B2">
              <w:rPr>
                <w:sz w:val="24"/>
                <w:szCs w:val="24"/>
              </w:rPr>
              <w:t>fficult to predict the activity within the community, as there has also been a recent change to the Covid guidance from WG.</w:t>
            </w:r>
            <w:r w:rsidR="00751A4A">
              <w:rPr>
                <w:sz w:val="24"/>
                <w:szCs w:val="24"/>
              </w:rPr>
              <w:t xml:space="preserve">  A lower demand has also been seen for </w:t>
            </w:r>
            <w:r w:rsidR="006B08EC">
              <w:rPr>
                <w:sz w:val="24"/>
                <w:szCs w:val="24"/>
              </w:rPr>
              <w:t>PCR tests.</w:t>
            </w:r>
          </w:p>
          <w:p w14:paraId="665931FA" w14:textId="77777777" w:rsidR="006B08EC" w:rsidRDefault="006B08EC" w:rsidP="002C1E0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054A6C27" w14:textId="77777777" w:rsidR="00751A4A" w:rsidRDefault="00442F96" w:rsidP="00751A4A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care and hospital </w:t>
            </w:r>
            <w:r w:rsidR="00751A4A">
              <w:rPr>
                <w:sz w:val="24"/>
                <w:szCs w:val="24"/>
              </w:rPr>
              <w:t>settings:</w:t>
            </w:r>
          </w:p>
          <w:p w14:paraId="7F7D656A" w14:textId="60B43F55" w:rsidR="00442F96" w:rsidRDefault="00751A4A" w:rsidP="00751A4A">
            <w:pPr>
              <w:pStyle w:val="TableParagraph"/>
              <w:numPr>
                <w:ilvl w:val="0"/>
                <w:numId w:val="34"/>
              </w:numPr>
              <w:ind w:left="316" w:right="3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955E3">
              <w:rPr>
                <w:sz w:val="24"/>
                <w:szCs w:val="24"/>
              </w:rPr>
              <w:t>taffing challenges continue, with flu and norovirus admission</w:t>
            </w:r>
            <w:r>
              <w:rPr>
                <w:sz w:val="24"/>
                <w:szCs w:val="24"/>
              </w:rPr>
              <w:t>s</w:t>
            </w:r>
            <w:r w:rsidR="000955E3">
              <w:rPr>
                <w:sz w:val="24"/>
                <w:szCs w:val="24"/>
              </w:rPr>
              <w:t xml:space="preserve"> as well as Covid patients, with most significant challenge seen in the East.</w:t>
            </w:r>
          </w:p>
          <w:p w14:paraId="4D8B13BF" w14:textId="1E04D7C9" w:rsidR="000955E3" w:rsidRDefault="000955E3" w:rsidP="00751A4A">
            <w:pPr>
              <w:pStyle w:val="TableParagraph"/>
              <w:numPr>
                <w:ilvl w:val="0"/>
                <w:numId w:val="34"/>
              </w:numPr>
              <w:ind w:left="316" w:right="3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transferred to assist with the vaccination programme will </w:t>
            </w:r>
            <w:r w:rsidR="00751A4A">
              <w:rPr>
                <w:sz w:val="24"/>
                <w:szCs w:val="24"/>
              </w:rPr>
              <w:t xml:space="preserve">shortly </w:t>
            </w:r>
            <w:r>
              <w:rPr>
                <w:sz w:val="24"/>
                <w:szCs w:val="24"/>
              </w:rPr>
              <w:t>be transferred back to their substantive posts</w:t>
            </w:r>
            <w:r w:rsidR="00751A4A">
              <w:rPr>
                <w:sz w:val="24"/>
                <w:szCs w:val="24"/>
              </w:rPr>
              <w:t>.</w:t>
            </w:r>
          </w:p>
          <w:p w14:paraId="1D348F99" w14:textId="63E4D576" w:rsidR="000955E3" w:rsidRDefault="00157518" w:rsidP="00751A4A">
            <w:pPr>
              <w:pStyle w:val="TableParagraph"/>
              <w:numPr>
                <w:ilvl w:val="0"/>
                <w:numId w:val="34"/>
              </w:numPr>
              <w:ind w:left="316" w:right="3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cases are linked to the 18-44 age group and linked to vaccination status</w:t>
            </w:r>
          </w:p>
          <w:p w14:paraId="20D1B49B" w14:textId="77777777" w:rsidR="00442F96" w:rsidRDefault="00442F96" w:rsidP="002C1E0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70731889" w14:textId="441148C6" w:rsidR="00751A4A" w:rsidRDefault="00442F96" w:rsidP="002C1E08">
            <w:pPr>
              <w:pStyle w:val="TableParagraph"/>
              <w:ind w:left="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NS </w:t>
            </w:r>
            <w:r w:rsidR="00157518">
              <w:rPr>
                <w:sz w:val="24"/>
                <w:szCs w:val="24"/>
              </w:rPr>
              <w:t xml:space="preserve">reported the </w:t>
            </w:r>
            <w:r w:rsidR="00751A4A">
              <w:rPr>
                <w:sz w:val="24"/>
                <w:szCs w:val="24"/>
              </w:rPr>
              <w:t>North Wales Winter Plan Strategic Group (</w:t>
            </w:r>
            <w:r>
              <w:rPr>
                <w:sz w:val="24"/>
                <w:szCs w:val="24"/>
              </w:rPr>
              <w:t>NWWPSG</w:t>
            </w:r>
            <w:r w:rsidR="00751A4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157518">
              <w:rPr>
                <w:sz w:val="24"/>
                <w:szCs w:val="24"/>
              </w:rPr>
              <w:t xml:space="preserve">has now been stood down, and the SCG has been re-established, to focus </w:t>
            </w:r>
            <w:r w:rsidR="00751A4A">
              <w:rPr>
                <w:sz w:val="24"/>
                <w:szCs w:val="24"/>
              </w:rPr>
              <w:t xml:space="preserve">primarily on </w:t>
            </w:r>
            <w:r w:rsidR="00157518">
              <w:rPr>
                <w:sz w:val="24"/>
                <w:szCs w:val="24"/>
              </w:rPr>
              <w:t xml:space="preserve">the impact </w:t>
            </w:r>
            <w:r w:rsidR="00751A4A">
              <w:rPr>
                <w:sz w:val="24"/>
                <w:szCs w:val="24"/>
              </w:rPr>
              <w:t xml:space="preserve">and harm </w:t>
            </w:r>
            <w:r w:rsidR="00157518">
              <w:rPr>
                <w:sz w:val="24"/>
                <w:szCs w:val="24"/>
              </w:rPr>
              <w:t>of the Omicron variant on Health &amp; Social Care delivery</w:t>
            </w:r>
            <w:r w:rsidR="00751A4A">
              <w:rPr>
                <w:sz w:val="24"/>
                <w:szCs w:val="24"/>
              </w:rPr>
              <w:t>.  NS acknowledged the regional arrangements, which is able and react at pace to step up response arrangements</w:t>
            </w:r>
            <w:r w:rsidR="00F234DB">
              <w:rPr>
                <w:sz w:val="24"/>
                <w:szCs w:val="24"/>
              </w:rPr>
              <w:t xml:space="preserve">.  </w:t>
            </w:r>
            <w:r w:rsidR="00751A4A">
              <w:rPr>
                <w:sz w:val="24"/>
                <w:szCs w:val="24"/>
              </w:rPr>
              <w:t xml:space="preserve"> </w:t>
            </w:r>
          </w:p>
          <w:p w14:paraId="0D620A1E" w14:textId="1186CA84" w:rsidR="00BF0518" w:rsidRDefault="00BF0518" w:rsidP="00F234DB">
            <w:pPr>
              <w:pStyle w:val="TableParagraph"/>
              <w:ind w:right="34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2AE5E9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59B" w:rsidRPr="004B2D23" w14:paraId="121556FD" w14:textId="77777777" w:rsidTr="00CF1C2A">
        <w:tc>
          <w:tcPr>
            <w:tcW w:w="710" w:type="dxa"/>
            <w:shd w:val="clear" w:color="auto" w:fill="auto"/>
          </w:tcPr>
          <w:p w14:paraId="3906B4E6" w14:textId="6B24E148" w:rsidR="00FF659B" w:rsidRDefault="00FF659B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987" w:type="dxa"/>
            <w:shd w:val="clear" w:color="auto" w:fill="auto"/>
          </w:tcPr>
          <w:p w14:paraId="698CAF86" w14:textId="77777777" w:rsidR="00FF659B" w:rsidRPr="00FF659B" w:rsidRDefault="00FF659B" w:rsidP="00CF5E68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FF659B">
              <w:rPr>
                <w:sz w:val="24"/>
                <w:szCs w:val="24"/>
                <w:u w:val="single"/>
              </w:rPr>
              <w:t>Minutes and actions of last meeting – December 2021</w:t>
            </w:r>
          </w:p>
          <w:p w14:paraId="5BCBCFF4" w14:textId="21199BAC" w:rsidR="00FF659B" w:rsidRPr="00FF659B" w:rsidRDefault="00FF659B" w:rsidP="00FF659B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FF659B">
              <w:rPr>
                <w:sz w:val="24"/>
                <w:szCs w:val="24"/>
              </w:rPr>
              <w:t xml:space="preserve">The minutes of meeting </w:t>
            </w:r>
            <w:r>
              <w:rPr>
                <w:sz w:val="24"/>
                <w:szCs w:val="24"/>
              </w:rPr>
              <w:t>10.12</w:t>
            </w:r>
            <w:r w:rsidRPr="00FF659B">
              <w:rPr>
                <w:sz w:val="24"/>
                <w:szCs w:val="24"/>
              </w:rPr>
              <w:t>.2021 were agreed as a correct record</w:t>
            </w:r>
          </w:p>
          <w:p w14:paraId="2C4960FC" w14:textId="34F59E3B" w:rsidR="00FF659B" w:rsidRDefault="00FF659B" w:rsidP="00FF659B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FF659B">
              <w:rPr>
                <w:sz w:val="24"/>
                <w:szCs w:val="24"/>
              </w:rPr>
              <w:t>with all actions completed.</w:t>
            </w:r>
          </w:p>
          <w:p w14:paraId="5156B219" w14:textId="5536A449" w:rsidR="00FF659B" w:rsidRDefault="00FF659B" w:rsidP="00CF5E6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05FB3B0F" w14:textId="77777777" w:rsidR="00FF659B" w:rsidRDefault="00FF659B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C5E" w:rsidRPr="004B2D23" w14:paraId="027E3E1F" w14:textId="77777777" w:rsidTr="00CF1C2A">
        <w:tc>
          <w:tcPr>
            <w:tcW w:w="710" w:type="dxa"/>
            <w:shd w:val="clear" w:color="auto" w:fill="auto"/>
          </w:tcPr>
          <w:p w14:paraId="5450B003" w14:textId="32123AFB" w:rsidR="00995C5E" w:rsidRDefault="001B372F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7987" w:type="dxa"/>
            <w:shd w:val="clear" w:color="auto" w:fill="auto"/>
          </w:tcPr>
          <w:p w14:paraId="3FBADCBD" w14:textId="02265FC6" w:rsidR="009E4155" w:rsidRPr="00FF659B" w:rsidRDefault="00537591" w:rsidP="00CF5E68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FF659B">
              <w:rPr>
                <w:sz w:val="24"/>
                <w:szCs w:val="24"/>
                <w:u w:val="single"/>
              </w:rPr>
              <w:t xml:space="preserve">AOB </w:t>
            </w:r>
          </w:p>
          <w:p w14:paraId="404C8E1C" w14:textId="51AAA9F4" w:rsidR="003213E0" w:rsidRDefault="001B372F" w:rsidP="003213E0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3213E0">
              <w:rPr>
                <w:sz w:val="24"/>
                <w:szCs w:val="24"/>
              </w:rPr>
              <w:t xml:space="preserve">Cllr BF </w:t>
            </w:r>
            <w:r w:rsidR="003213E0" w:rsidRPr="003213E0">
              <w:rPr>
                <w:sz w:val="24"/>
                <w:szCs w:val="24"/>
              </w:rPr>
              <w:t xml:space="preserve">reported from a recent meeting with the Minister, </w:t>
            </w:r>
            <w:r w:rsidR="00D40E24" w:rsidRPr="003213E0">
              <w:rPr>
                <w:sz w:val="24"/>
                <w:szCs w:val="24"/>
              </w:rPr>
              <w:t>encouraging LAs to look at ICF to fund the building of long term supported housing schemes for vulnerable people e</w:t>
            </w:r>
            <w:r w:rsidR="003213E0" w:rsidRPr="003213E0">
              <w:rPr>
                <w:sz w:val="24"/>
                <w:szCs w:val="24"/>
              </w:rPr>
              <w:t>.</w:t>
            </w:r>
            <w:r w:rsidR="00D40E24" w:rsidRPr="003213E0">
              <w:rPr>
                <w:sz w:val="24"/>
                <w:szCs w:val="24"/>
              </w:rPr>
              <w:t>g</w:t>
            </w:r>
            <w:r w:rsidR="003213E0" w:rsidRPr="003213E0">
              <w:rPr>
                <w:sz w:val="24"/>
                <w:szCs w:val="24"/>
              </w:rPr>
              <w:t>.</w:t>
            </w:r>
            <w:r w:rsidR="00D40E24" w:rsidRPr="003213E0">
              <w:rPr>
                <w:sz w:val="24"/>
                <w:szCs w:val="24"/>
              </w:rPr>
              <w:t xml:space="preserve"> those with mental health / substance misuse issues who are unlikely to be able to live independently</w:t>
            </w:r>
            <w:r w:rsidR="003213E0" w:rsidRPr="003213E0">
              <w:rPr>
                <w:sz w:val="24"/>
                <w:szCs w:val="24"/>
              </w:rPr>
              <w:t xml:space="preserve">, and proposed that an update is provided to a future NWRPB on the funding </w:t>
            </w:r>
          </w:p>
          <w:p w14:paraId="512BE9B9" w14:textId="77777777" w:rsidR="00D40E24" w:rsidRDefault="00D40E24" w:rsidP="00CF5E6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499F343C" w14:textId="23A49DC9" w:rsidR="001B372F" w:rsidRPr="001B372F" w:rsidRDefault="001B372F" w:rsidP="00CF5E68">
            <w:pPr>
              <w:pStyle w:val="TableParagraph"/>
              <w:ind w:left="4" w:right="34"/>
              <w:rPr>
                <w:b/>
                <w:sz w:val="24"/>
                <w:szCs w:val="24"/>
              </w:rPr>
            </w:pPr>
            <w:r w:rsidRPr="001B372F">
              <w:rPr>
                <w:b/>
                <w:sz w:val="24"/>
                <w:szCs w:val="24"/>
              </w:rPr>
              <w:t xml:space="preserve">Action -  Homelessness funding - Future Agenda </w:t>
            </w:r>
          </w:p>
          <w:p w14:paraId="5BAD4DA9" w14:textId="1459450E" w:rsidR="009E4155" w:rsidRPr="00602435" w:rsidRDefault="009E4155" w:rsidP="00CF5E6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57827804" w14:textId="77777777" w:rsidR="00995C5E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430BD8" w14:textId="77777777" w:rsidR="001B372F" w:rsidRDefault="001B372F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E50F63" w14:textId="77777777" w:rsidR="001B372F" w:rsidRDefault="001B372F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5FF5B5" w14:textId="77777777" w:rsidR="001B372F" w:rsidRDefault="001B372F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848540" w14:textId="77777777" w:rsidR="00CF1C2A" w:rsidRDefault="00CF1C2A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F6E4D" w14:textId="77777777" w:rsidR="00CF1C2A" w:rsidRDefault="00CF1C2A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F9905" w14:textId="77777777" w:rsidR="00CF1C2A" w:rsidRDefault="00CF1C2A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925DC" w14:textId="74178D96" w:rsidR="001B372F" w:rsidRPr="001B372F" w:rsidRDefault="001B372F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B372F">
              <w:rPr>
                <w:rFonts w:ascii="Arial" w:hAnsi="Arial" w:cs="Arial"/>
                <w:b/>
                <w:sz w:val="24"/>
                <w:szCs w:val="24"/>
              </w:rPr>
              <w:t>RW</w:t>
            </w:r>
          </w:p>
        </w:tc>
      </w:tr>
      <w:tr w:rsidR="00995C5E" w:rsidRPr="004B2D23" w14:paraId="4368799B" w14:textId="77777777" w:rsidTr="00CF1C2A">
        <w:tc>
          <w:tcPr>
            <w:tcW w:w="710" w:type="dxa"/>
            <w:shd w:val="clear" w:color="auto" w:fill="auto"/>
          </w:tcPr>
          <w:p w14:paraId="4021CC88" w14:textId="605C7399" w:rsidR="00995C5E" w:rsidRDefault="00995C5E" w:rsidP="003D2A0F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87" w:type="dxa"/>
            <w:shd w:val="clear" w:color="auto" w:fill="auto"/>
          </w:tcPr>
          <w:p w14:paraId="2DD28952" w14:textId="77777777" w:rsidR="00110F0B" w:rsidRDefault="001B372F" w:rsidP="001B372F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1B372F">
              <w:rPr>
                <w:b/>
                <w:sz w:val="24"/>
                <w:szCs w:val="24"/>
              </w:rPr>
              <w:t>Date of next meeting</w:t>
            </w:r>
            <w:r w:rsidRPr="001B372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- </w:t>
            </w:r>
            <w:r w:rsidRPr="001B372F">
              <w:rPr>
                <w:sz w:val="24"/>
                <w:szCs w:val="24"/>
              </w:rPr>
              <w:t>Friday 11th February 2022</w:t>
            </w:r>
          </w:p>
          <w:p w14:paraId="264EDF0B" w14:textId="0C0EC61A" w:rsidR="001B372F" w:rsidRPr="00E451E5" w:rsidRDefault="001B372F" w:rsidP="001B372F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3ACF7280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E37375" w14:textId="36D12E70" w:rsidR="00C340A7" w:rsidRDefault="00C340A7" w:rsidP="000C6EB9">
      <w:pPr>
        <w:tabs>
          <w:tab w:val="left" w:pos="3450"/>
        </w:tabs>
        <w:ind w:left="-709" w:right="-472"/>
        <w:rPr>
          <w:rFonts w:ascii="Arial" w:hAnsi="Arial" w:cs="Arial"/>
          <w:sz w:val="24"/>
          <w:szCs w:val="24"/>
        </w:rPr>
      </w:pPr>
    </w:p>
    <w:sectPr w:rsidR="00C340A7" w:rsidSect="008B277D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EA4"/>
    <w:multiLevelType w:val="hybridMultilevel"/>
    <w:tmpl w:val="7DEA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171"/>
    <w:multiLevelType w:val="hybridMultilevel"/>
    <w:tmpl w:val="537080FC"/>
    <w:lvl w:ilvl="0" w:tplc="1436AF9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60F2BDF"/>
    <w:multiLevelType w:val="hybridMultilevel"/>
    <w:tmpl w:val="A25E79A4"/>
    <w:lvl w:ilvl="0" w:tplc="81AC3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7A09"/>
    <w:multiLevelType w:val="hybridMultilevel"/>
    <w:tmpl w:val="16B0D028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0E1D1A22"/>
    <w:multiLevelType w:val="hybridMultilevel"/>
    <w:tmpl w:val="8CD6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08E0"/>
    <w:multiLevelType w:val="multilevel"/>
    <w:tmpl w:val="ED50DD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0379BE"/>
    <w:multiLevelType w:val="hybridMultilevel"/>
    <w:tmpl w:val="5D26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3AC3"/>
    <w:multiLevelType w:val="hybridMultilevel"/>
    <w:tmpl w:val="009C9D2A"/>
    <w:lvl w:ilvl="0" w:tplc="1436AF9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2FF8055B"/>
    <w:multiLevelType w:val="hybridMultilevel"/>
    <w:tmpl w:val="30F814F4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36A3572"/>
    <w:multiLevelType w:val="hybridMultilevel"/>
    <w:tmpl w:val="2A9282F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56476F0"/>
    <w:multiLevelType w:val="hybridMultilevel"/>
    <w:tmpl w:val="4D30B3C2"/>
    <w:lvl w:ilvl="0" w:tplc="10643C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41A4"/>
    <w:multiLevelType w:val="hybridMultilevel"/>
    <w:tmpl w:val="0C6E178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38AE2FAD"/>
    <w:multiLevelType w:val="hybridMultilevel"/>
    <w:tmpl w:val="63AA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E6A03"/>
    <w:multiLevelType w:val="hybridMultilevel"/>
    <w:tmpl w:val="93FA4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17535"/>
    <w:multiLevelType w:val="hybridMultilevel"/>
    <w:tmpl w:val="68A6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83286"/>
    <w:multiLevelType w:val="hybridMultilevel"/>
    <w:tmpl w:val="FB2A22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547A6"/>
    <w:multiLevelType w:val="hybridMultilevel"/>
    <w:tmpl w:val="FD1CA60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421E481C"/>
    <w:multiLevelType w:val="hybridMultilevel"/>
    <w:tmpl w:val="2326D8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6B17"/>
    <w:multiLevelType w:val="hybridMultilevel"/>
    <w:tmpl w:val="1CA66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7E2A71"/>
    <w:multiLevelType w:val="hybridMultilevel"/>
    <w:tmpl w:val="E146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056C7"/>
    <w:multiLevelType w:val="hybridMultilevel"/>
    <w:tmpl w:val="D426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F2F66"/>
    <w:multiLevelType w:val="hybridMultilevel"/>
    <w:tmpl w:val="5704B218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5F532DB8"/>
    <w:multiLevelType w:val="hybridMultilevel"/>
    <w:tmpl w:val="59C2C994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61553A20"/>
    <w:multiLevelType w:val="hybridMultilevel"/>
    <w:tmpl w:val="3B802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F05DE"/>
    <w:multiLevelType w:val="hybridMultilevel"/>
    <w:tmpl w:val="A2C864DA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63130BBA"/>
    <w:multiLevelType w:val="hybridMultilevel"/>
    <w:tmpl w:val="3272B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A1403E"/>
    <w:multiLevelType w:val="hybridMultilevel"/>
    <w:tmpl w:val="798A2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5B3A85"/>
    <w:multiLevelType w:val="hybridMultilevel"/>
    <w:tmpl w:val="88C0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E3AFF"/>
    <w:multiLevelType w:val="hybridMultilevel"/>
    <w:tmpl w:val="9928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56AAF"/>
    <w:multiLevelType w:val="hybridMultilevel"/>
    <w:tmpl w:val="35D69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6350A3"/>
    <w:multiLevelType w:val="hybridMultilevel"/>
    <w:tmpl w:val="8BE0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65166"/>
    <w:multiLevelType w:val="hybridMultilevel"/>
    <w:tmpl w:val="84BEE06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2" w15:restartNumberingAfterBreak="0">
    <w:nsid w:val="7A461380"/>
    <w:multiLevelType w:val="hybridMultilevel"/>
    <w:tmpl w:val="B1B8926E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3" w15:restartNumberingAfterBreak="0">
    <w:nsid w:val="7DED447F"/>
    <w:multiLevelType w:val="hybridMultilevel"/>
    <w:tmpl w:val="1C2A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0"/>
  </w:num>
  <w:num w:numId="5">
    <w:abstractNumId w:val="5"/>
  </w:num>
  <w:num w:numId="6">
    <w:abstractNumId w:val="29"/>
  </w:num>
  <w:num w:numId="7">
    <w:abstractNumId w:val="26"/>
  </w:num>
  <w:num w:numId="8">
    <w:abstractNumId w:val="2"/>
  </w:num>
  <w:num w:numId="9">
    <w:abstractNumId w:val="14"/>
  </w:num>
  <w:num w:numId="10">
    <w:abstractNumId w:val="23"/>
  </w:num>
  <w:num w:numId="11">
    <w:abstractNumId w:val="15"/>
  </w:num>
  <w:num w:numId="12">
    <w:abstractNumId w:val="17"/>
  </w:num>
  <w:num w:numId="13">
    <w:abstractNumId w:val="31"/>
  </w:num>
  <w:num w:numId="14">
    <w:abstractNumId w:val="3"/>
  </w:num>
  <w:num w:numId="15">
    <w:abstractNumId w:val="11"/>
  </w:num>
  <w:num w:numId="16">
    <w:abstractNumId w:val="0"/>
  </w:num>
  <w:num w:numId="17">
    <w:abstractNumId w:val="30"/>
  </w:num>
  <w:num w:numId="18">
    <w:abstractNumId w:val="12"/>
  </w:num>
  <w:num w:numId="19">
    <w:abstractNumId w:val="19"/>
  </w:num>
  <w:num w:numId="20">
    <w:abstractNumId w:val="20"/>
  </w:num>
  <w:num w:numId="21">
    <w:abstractNumId w:val="24"/>
  </w:num>
  <w:num w:numId="22">
    <w:abstractNumId w:val="27"/>
  </w:num>
  <w:num w:numId="23">
    <w:abstractNumId w:val="8"/>
  </w:num>
  <w:num w:numId="24">
    <w:abstractNumId w:val="21"/>
  </w:num>
  <w:num w:numId="25">
    <w:abstractNumId w:val="22"/>
  </w:num>
  <w:num w:numId="26">
    <w:abstractNumId w:val="9"/>
  </w:num>
  <w:num w:numId="27">
    <w:abstractNumId w:val="4"/>
  </w:num>
  <w:num w:numId="28">
    <w:abstractNumId w:val="16"/>
  </w:num>
  <w:num w:numId="29">
    <w:abstractNumId w:val="1"/>
  </w:num>
  <w:num w:numId="30">
    <w:abstractNumId w:val="7"/>
  </w:num>
  <w:num w:numId="31">
    <w:abstractNumId w:val="6"/>
  </w:num>
  <w:num w:numId="32">
    <w:abstractNumId w:val="28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23"/>
    <w:rsid w:val="000203D9"/>
    <w:rsid w:val="0002337B"/>
    <w:rsid w:val="00032C34"/>
    <w:rsid w:val="00034F09"/>
    <w:rsid w:val="00035476"/>
    <w:rsid w:val="0006574E"/>
    <w:rsid w:val="000855FF"/>
    <w:rsid w:val="000867AD"/>
    <w:rsid w:val="000955E3"/>
    <w:rsid w:val="000C6EB9"/>
    <w:rsid w:val="00110F0B"/>
    <w:rsid w:val="00114717"/>
    <w:rsid w:val="001279BA"/>
    <w:rsid w:val="0013173A"/>
    <w:rsid w:val="00131F4C"/>
    <w:rsid w:val="00132760"/>
    <w:rsid w:val="0014427A"/>
    <w:rsid w:val="00157518"/>
    <w:rsid w:val="00175EB0"/>
    <w:rsid w:val="0019041B"/>
    <w:rsid w:val="001B372F"/>
    <w:rsid w:val="0021671F"/>
    <w:rsid w:val="00224BAE"/>
    <w:rsid w:val="00230F06"/>
    <w:rsid w:val="002420C8"/>
    <w:rsid w:val="00256200"/>
    <w:rsid w:val="0026275C"/>
    <w:rsid w:val="00282658"/>
    <w:rsid w:val="00282B9A"/>
    <w:rsid w:val="00284A4D"/>
    <w:rsid w:val="002B530E"/>
    <w:rsid w:val="002C1E08"/>
    <w:rsid w:val="0030534A"/>
    <w:rsid w:val="00305620"/>
    <w:rsid w:val="003102E4"/>
    <w:rsid w:val="00316192"/>
    <w:rsid w:val="003213E0"/>
    <w:rsid w:val="00336C58"/>
    <w:rsid w:val="003452DD"/>
    <w:rsid w:val="00346F10"/>
    <w:rsid w:val="003546F3"/>
    <w:rsid w:val="00356D7B"/>
    <w:rsid w:val="0037331B"/>
    <w:rsid w:val="003746E1"/>
    <w:rsid w:val="0039404C"/>
    <w:rsid w:val="00397645"/>
    <w:rsid w:val="003A356F"/>
    <w:rsid w:val="003C414E"/>
    <w:rsid w:val="003C5617"/>
    <w:rsid w:val="003D2A0F"/>
    <w:rsid w:val="003D2C7A"/>
    <w:rsid w:val="00422D22"/>
    <w:rsid w:val="00434027"/>
    <w:rsid w:val="00436852"/>
    <w:rsid w:val="00442F96"/>
    <w:rsid w:val="00444A4E"/>
    <w:rsid w:val="004526DC"/>
    <w:rsid w:val="0047340B"/>
    <w:rsid w:val="004806BB"/>
    <w:rsid w:val="004A6C94"/>
    <w:rsid w:val="004B2D23"/>
    <w:rsid w:val="004B5AD9"/>
    <w:rsid w:val="004C18A7"/>
    <w:rsid w:val="004C1A81"/>
    <w:rsid w:val="004C2D94"/>
    <w:rsid w:val="004C5FB3"/>
    <w:rsid w:val="004E2D8A"/>
    <w:rsid w:val="004E5F64"/>
    <w:rsid w:val="004E6F62"/>
    <w:rsid w:val="004F5B26"/>
    <w:rsid w:val="00511D95"/>
    <w:rsid w:val="005329E5"/>
    <w:rsid w:val="0053674F"/>
    <w:rsid w:val="00537591"/>
    <w:rsid w:val="00537925"/>
    <w:rsid w:val="005419E8"/>
    <w:rsid w:val="0056737F"/>
    <w:rsid w:val="00574528"/>
    <w:rsid w:val="005C4D2B"/>
    <w:rsid w:val="005D23E6"/>
    <w:rsid w:val="005F2102"/>
    <w:rsid w:val="005F275E"/>
    <w:rsid w:val="006453A2"/>
    <w:rsid w:val="006535C3"/>
    <w:rsid w:val="00660718"/>
    <w:rsid w:val="00697E2C"/>
    <w:rsid w:val="006B08EC"/>
    <w:rsid w:val="006B5B32"/>
    <w:rsid w:val="006C650C"/>
    <w:rsid w:val="006C78D0"/>
    <w:rsid w:val="006D25D5"/>
    <w:rsid w:val="006E12F5"/>
    <w:rsid w:val="007103FB"/>
    <w:rsid w:val="00714453"/>
    <w:rsid w:val="0072650B"/>
    <w:rsid w:val="00747C31"/>
    <w:rsid w:val="00751A4A"/>
    <w:rsid w:val="0076511A"/>
    <w:rsid w:val="00772A15"/>
    <w:rsid w:val="007A4AFA"/>
    <w:rsid w:val="007D7210"/>
    <w:rsid w:val="007E3645"/>
    <w:rsid w:val="007F00CD"/>
    <w:rsid w:val="007F7C74"/>
    <w:rsid w:val="00801BFE"/>
    <w:rsid w:val="00802880"/>
    <w:rsid w:val="008251A9"/>
    <w:rsid w:val="00826415"/>
    <w:rsid w:val="00841CB0"/>
    <w:rsid w:val="0084347C"/>
    <w:rsid w:val="00852248"/>
    <w:rsid w:val="00852375"/>
    <w:rsid w:val="00861CBC"/>
    <w:rsid w:val="00885290"/>
    <w:rsid w:val="008A080D"/>
    <w:rsid w:val="008A2E02"/>
    <w:rsid w:val="008A6FC4"/>
    <w:rsid w:val="008B277D"/>
    <w:rsid w:val="008B3C47"/>
    <w:rsid w:val="008C10FA"/>
    <w:rsid w:val="008C1439"/>
    <w:rsid w:val="008C439C"/>
    <w:rsid w:val="008E1A78"/>
    <w:rsid w:val="008F0762"/>
    <w:rsid w:val="00900141"/>
    <w:rsid w:val="009025AF"/>
    <w:rsid w:val="00904CF9"/>
    <w:rsid w:val="00912608"/>
    <w:rsid w:val="009319A8"/>
    <w:rsid w:val="00961BB1"/>
    <w:rsid w:val="00967826"/>
    <w:rsid w:val="009764CF"/>
    <w:rsid w:val="009771B7"/>
    <w:rsid w:val="00995C5E"/>
    <w:rsid w:val="00995F3A"/>
    <w:rsid w:val="009A1570"/>
    <w:rsid w:val="009A1D2E"/>
    <w:rsid w:val="009A74A7"/>
    <w:rsid w:val="009E0306"/>
    <w:rsid w:val="009E0CAB"/>
    <w:rsid w:val="009E1094"/>
    <w:rsid w:val="009E4155"/>
    <w:rsid w:val="009E7163"/>
    <w:rsid w:val="009F3944"/>
    <w:rsid w:val="009F7B5B"/>
    <w:rsid w:val="00A0179B"/>
    <w:rsid w:val="00A017F6"/>
    <w:rsid w:val="00A03449"/>
    <w:rsid w:val="00A12810"/>
    <w:rsid w:val="00A178EE"/>
    <w:rsid w:val="00A17B56"/>
    <w:rsid w:val="00A2037B"/>
    <w:rsid w:val="00A23C6D"/>
    <w:rsid w:val="00A579F0"/>
    <w:rsid w:val="00A57D3C"/>
    <w:rsid w:val="00A606B4"/>
    <w:rsid w:val="00A640A3"/>
    <w:rsid w:val="00AA6A4D"/>
    <w:rsid w:val="00AC2ADE"/>
    <w:rsid w:val="00AD174F"/>
    <w:rsid w:val="00AD5763"/>
    <w:rsid w:val="00AE46D2"/>
    <w:rsid w:val="00AE6115"/>
    <w:rsid w:val="00AF38AE"/>
    <w:rsid w:val="00AF5BFA"/>
    <w:rsid w:val="00B0370F"/>
    <w:rsid w:val="00B05D87"/>
    <w:rsid w:val="00B41142"/>
    <w:rsid w:val="00B473D5"/>
    <w:rsid w:val="00B676AA"/>
    <w:rsid w:val="00B7583C"/>
    <w:rsid w:val="00B75A68"/>
    <w:rsid w:val="00B90004"/>
    <w:rsid w:val="00B92021"/>
    <w:rsid w:val="00B929B7"/>
    <w:rsid w:val="00BA5A08"/>
    <w:rsid w:val="00BB24F3"/>
    <w:rsid w:val="00BE5BA0"/>
    <w:rsid w:val="00BF0518"/>
    <w:rsid w:val="00C06206"/>
    <w:rsid w:val="00C16F62"/>
    <w:rsid w:val="00C340A7"/>
    <w:rsid w:val="00C36E03"/>
    <w:rsid w:val="00C479E3"/>
    <w:rsid w:val="00C516B1"/>
    <w:rsid w:val="00C54FF3"/>
    <w:rsid w:val="00C83627"/>
    <w:rsid w:val="00C84661"/>
    <w:rsid w:val="00C85770"/>
    <w:rsid w:val="00C8645C"/>
    <w:rsid w:val="00CB3C59"/>
    <w:rsid w:val="00CB5A7C"/>
    <w:rsid w:val="00CC32A8"/>
    <w:rsid w:val="00CC3D1D"/>
    <w:rsid w:val="00CC412D"/>
    <w:rsid w:val="00CE5B25"/>
    <w:rsid w:val="00CF1C2A"/>
    <w:rsid w:val="00CF3EE6"/>
    <w:rsid w:val="00CF5E68"/>
    <w:rsid w:val="00D32B0B"/>
    <w:rsid w:val="00D32B44"/>
    <w:rsid w:val="00D4008D"/>
    <w:rsid w:val="00D401C5"/>
    <w:rsid w:val="00D40E24"/>
    <w:rsid w:val="00D54A9A"/>
    <w:rsid w:val="00D6240A"/>
    <w:rsid w:val="00D70CAF"/>
    <w:rsid w:val="00D73DD0"/>
    <w:rsid w:val="00D74DB3"/>
    <w:rsid w:val="00D97AC2"/>
    <w:rsid w:val="00DA4045"/>
    <w:rsid w:val="00DA5A10"/>
    <w:rsid w:val="00DA5E89"/>
    <w:rsid w:val="00DB43F5"/>
    <w:rsid w:val="00DE3954"/>
    <w:rsid w:val="00DE6E39"/>
    <w:rsid w:val="00E3132B"/>
    <w:rsid w:val="00E41609"/>
    <w:rsid w:val="00E46A5D"/>
    <w:rsid w:val="00E643A9"/>
    <w:rsid w:val="00E91CE0"/>
    <w:rsid w:val="00E930C2"/>
    <w:rsid w:val="00E978B1"/>
    <w:rsid w:val="00EB136F"/>
    <w:rsid w:val="00EC16B7"/>
    <w:rsid w:val="00EC2787"/>
    <w:rsid w:val="00EC6DCF"/>
    <w:rsid w:val="00F16D2C"/>
    <w:rsid w:val="00F234B2"/>
    <w:rsid w:val="00F234DB"/>
    <w:rsid w:val="00F51267"/>
    <w:rsid w:val="00F665C6"/>
    <w:rsid w:val="00F75FF4"/>
    <w:rsid w:val="00F768B6"/>
    <w:rsid w:val="00F87EEE"/>
    <w:rsid w:val="00F92571"/>
    <w:rsid w:val="00F95DB7"/>
    <w:rsid w:val="00FA7344"/>
    <w:rsid w:val="00FB251A"/>
    <w:rsid w:val="00FB2BCE"/>
    <w:rsid w:val="00FD065A"/>
    <w:rsid w:val="00FD1C27"/>
    <w:rsid w:val="00FE66A8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D01C"/>
  <w15:chartTrackingRefBased/>
  <w15:docId w15:val="{95E65769-8058-42E6-9E1A-E9F75EBA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C5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95C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9319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EDA0-C1B6-4C24-9B2D-A3690A4A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Whittingham</dc:creator>
  <cp:keywords/>
  <dc:description/>
  <cp:lastModifiedBy>Eluned Yaxley</cp:lastModifiedBy>
  <cp:revision>2</cp:revision>
  <dcterms:created xsi:type="dcterms:W3CDTF">2022-02-25T14:16:00Z</dcterms:created>
  <dcterms:modified xsi:type="dcterms:W3CDTF">2022-02-25T14:16:00Z</dcterms:modified>
</cp:coreProperties>
</file>